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D36C" w14:textId="6E820C3F" w:rsidR="00A65F48" w:rsidRDefault="00AB62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A4D73">
        <w:rPr>
          <w:rFonts w:ascii="Times New Roman" w:hAnsi="Times New Roman" w:cs="Times New Roman"/>
          <w:b/>
          <w:bCs/>
          <w:sz w:val="28"/>
          <w:szCs w:val="28"/>
        </w:rPr>
        <w:t>АТВЕРДЖЕНО</w:t>
      </w:r>
    </w:p>
    <w:p w14:paraId="02D94277" w14:textId="77777777" w:rsidR="007A4D73" w:rsidRDefault="00AB62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A4D73" w:rsidRPr="007A4D73">
        <w:rPr>
          <w:rFonts w:ascii="Times New Roman" w:hAnsi="Times New Roman" w:cs="Times New Roman"/>
        </w:rPr>
        <w:t xml:space="preserve">Наказ </w:t>
      </w:r>
      <w:r w:rsidRPr="007A4D73">
        <w:rPr>
          <w:rFonts w:ascii="Times New Roman" w:hAnsi="Times New Roman" w:cs="Times New Roman"/>
        </w:rPr>
        <w:tab/>
        <w:t xml:space="preserve">ДУ «Хмельницький обласний центр </w:t>
      </w:r>
    </w:p>
    <w:p w14:paraId="5B3C9ADD" w14:textId="6C2C5B0B" w:rsidR="00A65F48" w:rsidRPr="007A4D73" w:rsidRDefault="00AB620A" w:rsidP="007A4D73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7A4D73">
        <w:rPr>
          <w:rFonts w:ascii="Times New Roman" w:hAnsi="Times New Roman" w:cs="Times New Roman"/>
        </w:rPr>
        <w:t>контролю та</w:t>
      </w:r>
      <w:r w:rsidR="007A4D73">
        <w:rPr>
          <w:rFonts w:ascii="Times New Roman" w:hAnsi="Times New Roman" w:cs="Times New Roman"/>
        </w:rPr>
        <w:t xml:space="preserve"> </w:t>
      </w:r>
      <w:r w:rsidRPr="007A4D73">
        <w:rPr>
          <w:rFonts w:ascii="Times New Roman" w:hAnsi="Times New Roman" w:cs="Times New Roman"/>
        </w:rPr>
        <w:t>профілактики хвороб МОЗ України»</w:t>
      </w:r>
    </w:p>
    <w:p w14:paraId="17035AF6" w14:textId="600AF4E3" w:rsidR="00A65F48" w:rsidRDefault="00AB620A">
      <w:pPr>
        <w:spacing w:after="0" w:line="360" w:lineRule="auto"/>
        <w:rPr>
          <w:rFonts w:ascii="Times New Roman" w:hAnsi="Times New Roman" w:cs="Times New Roman"/>
        </w:rPr>
      </w:pPr>
      <w:r w:rsidRPr="007A4D73">
        <w:rPr>
          <w:rFonts w:ascii="Times New Roman" w:hAnsi="Times New Roman" w:cs="Times New Roman"/>
        </w:rPr>
        <w:tab/>
      </w:r>
      <w:r w:rsidRPr="007A4D73">
        <w:rPr>
          <w:rFonts w:ascii="Times New Roman" w:hAnsi="Times New Roman" w:cs="Times New Roman"/>
        </w:rPr>
        <w:tab/>
      </w:r>
      <w:r w:rsidRPr="007A4D73">
        <w:rPr>
          <w:rFonts w:ascii="Times New Roman" w:hAnsi="Times New Roman" w:cs="Times New Roman"/>
        </w:rPr>
        <w:tab/>
      </w:r>
      <w:r w:rsidRPr="007A4D73">
        <w:rPr>
          <w:rFonts w:ascii="Times New Roman" w:hAnsi="Times New Roman" w:cs="Times New Roman"/>
        </w:rPr>
        <w:tab/>
      </w:r>
      <w:r w:rsidRPr="007A4D73">
        <w:rPr>
          <w:rFonts w:ascii="Times New Roman" w:hAnsi="Times New Roman" w:cs="Times New Roman"/>
        </w:rPr>
        <w:tab/>
      </w:r>
      <w:r w:rsidRPr="007A4D73">
        <w:rPr>
          <w:rFonts w:ascii="Times New Roman" w:hAnsi="Times New Roman" w:cs="Times New Roman"/>
        </w:rPr>
        <w:tab/>
      </w:r>
      <w:r w:rsidR="007A4D73">
        <w:rPr>
          <w:rFonts w:ascii="Times New Roman" w:hAnsi="Times New Roman" w:cs="Times New Roman"/>
        </w:rPr>
        <w:t xml:space="preserve">від </w:t>
      </w:r>
      <w:r w:rsidR="007F4546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="007F4546">
        <w:rPr>
          <w:rFonts w:ascii="Times New Roman" w:hAnsi="Times New Roman" w:cs="Times New Roman"/>
        </w:rPr>
        <w:t>червня</w:t>
      </w:r>
      <w:r>
        <w:rPr>
          <w:rFonts w:ascii="Times New Roman" w:hAnsi="Times New Roman" w:cs="Times New Roman"/>
        </w:rPr>
        <w:t xml:space="preserve"> 20</w:t>
      </w:r>
      <w:r w:rsidR="007F4546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р</w:t>
      </w:r>
      <w:r w:rsidR="007A4D73">
        <w:rPr>
          <w:rFonts w:ascii="Times New Roman" w:hAnsi="Times New Roman" w:cs="Times New Roman"/>
        </w:rPr>
        <w:t>оку №</w:t>
      </w:r>
      <w:r w:rsidR="007F4546">
        <w:rPr>
          <w:rFonts w:ascii="Times New Roman" w:hAnsi="Times New Roman" w:cs="Times New Roman"/>
        </w:rPr>
        <w:t>81-од</w:t>
      </w:r>
    </w:p>
    <w:p w14:paraId="14CA4A07" w14:textId="77777777" w:rsidR="00C647FD" w:rsidRDefault="00C647F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D163AAA" w14:textId="1E4FC0C4" w:rsidR="00A65F48" w:rsidRDefault="00AB620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Навчальна програма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181"/>
      </w:tblGrid>
      <w:tr w:rsidR="00A65F48" w14:paraId="26F65ACD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61A0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Тема заходу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71B" w14:textId="308C10BF" w:rsidR="00A65F48" w:rsidRDefault="00AE40F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E40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«</w:t>
            </w:r>
            <w:r w:rsidR="004D713A" w:rsidRPr="004D713A">
              <w:rPr>
                <w:b/>
                <w:color w:val="000000"/>
                <w:sz w:val="28"/>
                <w:szCs w:val="28"/>
              </w:rPr>
              <w:t>Біологічний захист та біологічна безпека. Р</w:t>
            </w:r>
            <w:r w:rsidR="00706FDB">
              <w:rPr>
                <w:b/>
                <w:color w:val="000000"/>
                <w:sz w:val="28"/>
                <w:szCs w:val="28"/>
              </w:rPr>
              <w:t>е</w:t>
            </w:r>
            <w:r w:rsidR="004D713A" w:rsidRPr="004D713A">
              <w:rPr>
                <w:b/>
                <w:color w:val="000000"/>
                <w:sz w:val="28"/>
                <w:szCs w:val="28"/>
              </w:rPr>
              <w:t>агування на надзвичайні ситуації, спричинені біологічною загрозою</w:t>
            </w:r>
            <w:r w:rsidRPr="00AE40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»</w:t>
            </w:r>
          </w:p>
        </w:tc>
      </w:tr>
      <w:tr w:rsidR="00A65F48" w14:paraId="0B59859D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24D7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Вид заходу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90E" w14:textId="71C105D8" w:rsidR="00A65F48" w:rsidRDefault="004D71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Семінар</w:t>
            </w:r>
          </w:p>
        </w:tc>
      </w:tr>
      <w:tr w:rsidR="00A65F48" w14:paraId="37EE2E5D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C01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16C" w14:textId="48ECD466" w:rsidR="00390BAC" w:rsidRPr="00390BAC" w:rsidRDefault="00390BAC" w:rsidP="00706FDB">
            <w:pPr>
              <w:tabs>
                <w:tab w:val="right" w:pos="9639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390BAC">
              <w:rPr>
                <w:rFonts w:eastAsia="Calibri"/>
                <w:sz w:val="28"/>
                <w:szCs w:val="28"/>
              </w:rPr>
              <w:t>Лікарські спеціальності: Гігієна дітей та підлітків, Гігієна харчування, Епідеміологія, Загальна гігієна,</w:t>
            </w:r>
            <w:r w:rsidR="001D09EE">
              <w:rPr>
                <w:rFonts w:eastAsia="Calibri"/>
                <w:sz w:val="28"/>
                <w:szCs w:val="28"/>
              </w:rPr>
              <w:t xml:space="preserve"> Гігієна праці,</w:t>
            </w:r>
            <w:r w:rsidRPr="00390BAC">
              <w:rPr>
                <w:rFonts w:eastAsia="Calibri"/>
                <w:sz w:val="28"/>
                <w:szCs w:val="28"/>
              </w:rPr>
              <w:t xml:space="preserve">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198CAD33" w14:textId="77777777" w:rsidR="00390BAC" w:rsidRPr="00390BAC" w:rsidRDefault="00390BAC" w:rsidP="00706FDB">
            <w:pPr>
              <w:tabs>
                <w:tab w:val="right" w:pos="963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390BAC">
              <w:rPr>
                <w:sz w:val="28"/>
                <w:szCs w:val="28"/>
              </w:rPr>
              <w:t>Спеціальності молодших спеціалістів з медичною освітою медико-профілактичного профілю.</w:t>
            </w:r>
          </w:p>
          <w:p w14:paraId="44DD4383" w14:textId="77777777" w:rsidR="00390BAC" w:rsidRPr="00390BAC" w:rsidRDefault="00390BAC" w:rsidP="00706FDB">
            <w:pPr>
              <w:tabs>
                <w:tab w:val="right" w:pos="963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390BAC">
              <w:rPr>
                <w:sz w:val="28"/>
                <w:szCs w:val="28"/>
              </w:rPr>
              <w:t>Професіонали у галузі охорони здоров’я за спеціальністю: Громадське здоров’я, Довкілля та здоров’я, Лабораторні дослідження факторів навколишнього середовища.</w:t>
            </w:r>
          </w:p>
          <w:p w14:paraId="110CED09" w14:textId="7773C517" w:rsidR="00A65F48" w:rsidRDefault="00390BAC" w:rsidP="00706FD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90BAC">
              <w:rPr>
                <w:sz w:val="28"/>
                <w:szCs w:val="28"/>
              </w:rPr>
              <w:t>Професіонали з вищою немедичною освітою, які працюють в системі охорони здоров’я.</w:t>
            </w:r>
          </w:p>
        </w:tc>
      </w:tr>
      <w:tr w:rsidR="00A65F48" w14:paraId="1FF63570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330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Мета заходу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38E" w14:textId="69054A95" w:rsidR="00A65F48" w:rsidRPr="004D713A" w:rsidRDefault="004D713A">
            <w:pPr>
              <w:pStyle w:val="a8"/>
              <w:widowControl w:val="0"/>
              <w:spacing w:beforeAutospacing="0" w:afterAutospacing="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22162">
              <w:rPr>
                <w:rFonts w:eastAsia="Times New Roman"/>
                <w:sz w:val="28"/>
                <w:szCs w:val="28"/>
                <w:lang w:val="uk-UA" w:eastAsia="uk-UA"/>
              </w:rPr>
              <w:t>Підвищення рівня професійної компетентності працівників сфери охорони здоров’я щодо забезпечення біологічного захисту та біологічної безпеки населення, удосконалення знань і практичних навичок з оцінки біологічних ризиків, організації та проведення протиепідемічних заходів, а також реагування на надзвичайні ситуації, пов’язані з виникненням і поширенням небезпечних біологічних агентів, відповідно до сучасних вимог законодавства України та міжнародних стандартів у сфері громадського здоров’я</w:t>
            </w:r>
            <w:r>
              <w:rPr>
                <w:rFonts w:eastAsia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A65F48" w14:paraId="3C569E42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BAA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Перелік компетентностей, що набуваються або вдосконалюються (результати навчання)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CB33" w14:textId="77777777" w:rsidR="004D713A" w:rsidRPr="004D713A" w:rsidRDefault="004D713A" w:rsidP="004D7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713A">
              <w:rPr>
                <w:rFonts w:ascii="Times New Roman" w:eastAsia="Times New Roman" w:hAnsi="Symbol" w:cs="Times New Roman"/>
                <w:kern w:val="0"/>
                <w:sz w:val="28"/>
                <w:szCs w:val="28"/>
                <w:lang w:eastAsia="uk-UA"/>
                <w14:ligatures w14:val="none"/>
              </w:rPr>
              <w:t>1.</w:t>
            </w:r>
            <w:r w:rsidRPr="004D71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Здатність ідентифікувати та оцінювати біологічні загрози і ризики для здоров'я населення. </w:t>
            </w:r>
          </w:p>
          <w:p w14:paraId="004F666E" w14:textId="77777777" w:rsidR="004D713A" w:rsidRPr="00E22162" w:rsidRDefault="004D713A" w:rsidP="004D7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713A">
              <w:rPr>
                <w:rFonts w:ascii="Times New Roman" w:eastAsia="Times New Roman" w:hAnsi="Symbol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2. </w:t>
            </w:r>
            <w:r w:rsidRPr="00E221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Здатність організовувати реагування на надзвичайні ситуації, пов'язані з виникненням або поширенням небезпечних біологічних агентів. </w:t>
            </w:r>
          </w:p>
          <w:p w14:paraId="01194A07" w14:textId="77777777" w:rsidR="004D713A" w:rsidRPr="00E22162" w:rsidRDefault="004D713A" w:rsidP="004D7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713A">
              <w:rPr>
                <w:rFonts w:ascii="Times New Roman" w:eastAsia="Times New Roman" w:hAnsi="Symbol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3. </w:t>
            </w:r>
            <w:r w:rsidRPr="00E221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Здатність застосовувати алгоритми міжвідомчої взаємодії під час реагування на біологічні загрози. </w:t>
            </w:r>
          </w:p>
          <w:p w14:paraId="4239ADA2" w14:textId="77777777" w:rsidR="004D713A" w:rsidRPr="00E22162" w:rsidRDefault="004D713A" w:rsidP="004D7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713A">
              <w:rPr>
                <w:rFonts w:ascii="Times New Roman" w:eastAsia="Times New Roman" w:hAnsi="Symbol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4. </w:t>
            </w:r>
            <w:r w:rsidRPr="00E221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Здатність забезпечувати інфекційний контроль у закладах охорони здоров'я. </w:t>
            </w:r>
          </w:p>
          <w:p w14:paraId="39C705D1" w14:textId="77777777" w:rsidR="004D713A" w:rsidRPr="004D713A" w:rsidRDefault="004D713A" w:rsidP="004D7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D713A">
              <w:rPr>
                <w:rFonts w:ascii="Times New Roman" w:eastAsia="Times New Roman" w:hAnsi="Symbol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5. </w:t>
            </w:r>
            <w:r w:rsidRPr="00E221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Здатність організовувати безпечне поводження з біологічними матеріалами та відходами. </w:t>
            </w:r>
          </w:p>
          <w:p w14:paraId="3880B2C2" w14:textId="6293E236" w:rsidR="009622C7" w:rsidRPr="004D713A" w:rsidRDefault="004D713A" w:rsidP="004D713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uk-UA"/>
              </w:rPr>
            </w:pPr>
            <w:r w:rsidRPr="004D71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6. Здатність забезпечувати готовність закладів охорони здоров'я до реагування на надзвичайні ситуації біологічного походження.</w:t>
            </w:r>
          </w:p>
        </w:tc>
      </w:tr>
      <w:tr w:rsidR="00A65F48" w14:paraId="1A65E840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563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Опис структури заходу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6AD" w14:textId="77E84080" w:rsidR="00F04868" w:rsidRPr="00F04868" w:rsidRDefault="00AB620A" w:rsidP="00F0486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Одноденний </w:t>
            </w:r>
            <w:r w:rsidR="004D713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семінар</w:t>
            </w: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r w:rsidR="004D713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30544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 хв.:</w:t>
            </w:r>
          </w:p>
          <w:p w14:paraId="7ADA53EF" w14:textId="7789F8B8" w:rsidR="00F04868" w:rsidRPr="00F04868" w:rsidRDefault="00AB620A" w:rsidP="00F04868">
            <w:pPr>
              <w:pStyle w:val="af2"/>
              <w:widowControl w:val="0"/>
              <w:numPr>
                <w:ilvl w:val="0"/>
                <w:numId w:val="3"/>
              </w:numPr>
              <w:tabs>
                <w:tab w:val="clear" w:pos="420"/>
                <w:tab w:val="left" w:pos="720"/>
              </w:tabs>
              <w:suppressAutoHyphens w:val="0"/>
              <w:autoSpaceDE w:val="0"/>
              <w:autoSpaceDN w:val="0"/>
              <w:spacing w:after="0" w:line="240" w:lineRule="auto"/>
              <w:ind w:left="480" w:hanging="24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лекції </w:t>
            </w:r>
            <w:r w:rsidR="0030544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–</w:t>
            </w: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0544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240 хв</w:t>
            </w:r>
            <w:r w:rsidR="00F04868"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5161689" w14:textId="163E9B59" w:rsidR="00A65F48" w:rsidRPr="00F04868" w:rsidRDefault="00AB620A" w:rsidP="00F04868">
            <w:pPr>
              <w:pStyle w:val="af2"/>
              <w:widowControl w:val="0"/>
              <w:numPr>
                <w:ilvl w:val="0"/>
                <w:numId w:val="3"/>
              </w:numPr>
              <w:tabs>
                <w:tab w:val="clear" w:pos="420"/>
                <w:tab w:val="left" w:pos="720"/>
              </w:tabs>
              <w:suppressAutoHyphens w:val="0"/>
              <w:autoSpaceDE w:val="0"/>
              <w:autoSpaceDN w:val="0"/>
              <w:spacing w:after="0" w:line="240" w:lineRule="auto"/>
              <w:ind w:left="480" w:hanging="24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обговорення - 20 хв;</w:t>
            </w:r>
          </w:p>
          <w:p w14:paraId="3B6B31E5" w14:textId="47B21FC4" w:rsidR="00A65F48" w:rsidRPr="00F04868" w:rsidRDefault="00AB620A">
            <w:pPr>
              <w:widowControl w:val="0"/>
              <w:numPr>
                <w:ilvl w:val="0"/>
                <w:numId w:val="3"/>
              </w:numPr>
              <w:tabs>
                <w:tab w:val="clear" w:pos="420"/>
                <w:tab w:val="left" w:pos="720"/>
              </w:tabs>
              <w:suppressAutoHyphens w:val="0"/>
              <w:autoSpaceDE w:val="0"/>
              <w:autoSpaceDN w:val="0"/>
              <w:spacing w:after="0" w:line="240" w:lineRule="auto"/>
              <w:ind w:left="480" w:hanging="24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оцінювання набутих знань - </w:t>
            </w:r>
            <w:r w:rsidR="0030544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 хв.</w:t>
            </w:r>
          </w:p>
        </w:tc>
      </w:tr>
      <w:tr w:rsidR="00A65F48" w14:paraId="75B35D28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BD3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Загальний обсяг начального навантаження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FEB" w14:textId="10784B9A" w:rsidR="00A65F48" w:rsidRPr="00F04868" w:rsidRDefault="004D71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AB620A"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годин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</w:t>
            </w:r>
            <w:r w:rsidR="00AB620A"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0544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50 хвилин</w:t>
            </w:r>
            <w:r w:rsidR="00AB620A"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астрономічних;</w:t>
            </w:r>
          </w:p>
          <w:p w14:paraId="19A8A44A" w14:textId="7C5AEDAB" w:rsidR="00A65F48" w:rsidRDefault="0030544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="00AB620A" w:rsidRPr="00F0486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годин - академічних.</w:t>
            </w:r>
          </w:p>
        </w:tc>
      </w:tr>
      <w:tr w:rsidR="00A65F48" w14:paraId="257AAFF9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329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Форми організації та  проведення заходу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101" w14:textId="2B88A8E5" w:rsidR="00A65F48" w:rsidRDefault="00E746F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Презентація, л</w:t>
            </w:r>
            <w:r w:rsidR="00EC5CA9" w:rsidRPr="00EC5C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екція, дискусія, пояснення, ситуативне моделювання</w:t>
            </w:r>
          </w:p>
        </w:tc>
      </w:tr>
      <w:tr w:rsidR="00A65F48" w14:paraId="0A5665BE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9A1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Методи організації та проведення заходу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BD6" w14:textId="4C0D592F" w:rsidR="00A65F48" w:rsidRDefault="00EC5CA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5C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Демонстративний матеріал, методичний матеріал, ситуаційний аналіз, аналітичний розбір</w:t>
            </w:r>
          </w:p>
        </w:tc>
      </w:tr>
      <w:tr w:rsidR="00A65F48" w14:paraId="066AA733" w14:textId="77777777" w:rsidTr="00706FDB">
        <w:trPr>
          <w:trHeight w:val="76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D63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Матеріально-технічне забезпечення освітнього заходу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DC1" w14:textId="445B5B7C" w:rsidR="00A65F48" w:rsidRDefault="00AB620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Проектор, ноутбук для презентації лекційного матеріалу</w:t>
            </w:r>
            <w:r w:rsidR="00EC5CA9">
              <w:t xml:space="preserve">, </w:t>
            </w:r>
            <w:r w:rsidR="00EC5CA9">
              <w:rPr>
                <w:sz w:val="28"/>
                <w:szCs w:val="28"/>
              </w:rPr>
              <w:t>і</w:t>
            </w:r>
            <w:r w:rsidR="00EC5CA9" w:rsidRPr="00EC5C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нтернет</w:t>
            </w:r>
          </w:p>
        </w:tc>
      </w:tr>
      <w:tr w:rsidR="00A65F48" w14:paraId="34950C9B" w14:textId="77777777" w:rsidTr="00706FD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A16" w14:textId="77777777" w:rsidR="00A65F48" w:rsidRDefault="00AB620A">
            <w:pPr>
              <w:suppressAutoHyphens w:val="0"/>
              <w:spacing w:after="0" w:line="240" w:lineRule="auto"/>
              <w:ind w:right="-106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Форми підсумкового контролю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6CAC" w14:textId="1A7D9A65" w:rsidR="00A65F48" w:rsidRDefault="00AB620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тестових питань). </w:t>
            </w:r>
          </w:p>
          <w:p w14:paraId="54F0CA7D" w14:textId="06E74165" w:rsidR="00A65F48" w:rsidRDefault="00AB620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Сертифікат отримають ті учасники, які наберуть 80% (1</w:t>
            </w:r>
            <w:r w:rsidR="0030544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правильних відповідей і більше).</w:t>
            </w:r>
          </w:p>
        </w:tc>
      </w:tr>
    </w:tbl>
    <w:p w14:paraId="55115F10" w14:textId="77777777" w:rsidR="00A65F48" w:rsidRDefault="00A65F48"/>
    <w:sectPr w:rsidR="00A65F48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D70C" w14:textId="77777777" w:rsidR="00D004C1" w:rsidRDefault="00D004C1">
      <w:pPr>
        <w:spacing w:line="240" w:lineRule="auto"/>
      </w:pPr>
      <w:r>
        <w:separator/>
      </w:r>
    </w:p>
  </w:endnote>
  <w:endnote w:type="continuationSeparator" w:id="0">
    <w:p w14:paraId="08E42006" w14:textId="77777777" w:rsidR="00D004C1" w:rsidRDefault="00D00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8E38" w14:textId="77777777" w:rsidR="00D004C1" w:rsidRDefault="00D004C1">
      <w:pPr>
        <w:spacing w:after="0"/>
      </w:pPr>
      <w:r>
        <w:separator/>
      </w:r>
    </w:p>
  </w:footnote>
  <w:footnote w:type="continuationSeparator" w:id="0">
    <w:p w14:paraId="1F61090B" w14:textId="77777777" w:rsidR="00D004C1" w:rsidRDefault="00D004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D9F9C5"/>
    <w:multiLevelType w:val="singleLevel"/>
    <w:tmpl w:val="99D9F9C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7FD1CB7"/>
    <w:multiLevelType w:val="singleLevel"/>
    <w:tmpl w:val="C7FD1CB7"/>
    <w:lvl w:ilvl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ascii="SimSun" w:eastAsia="SimSun" w:hAnsi="SimSun" w:cs="SimSun" w:hint="default"/>
      </w:rPr>
    </w:lvl>
  </w:abstractNum>
  <w:abstractNum w:abstractNumId="2" w15:restartNumberingAfterBreak="0">
    <w:nsid w:val="2E36081D"/>
    <w:multiLevelType w:val="hybridMultilevel"/>
    <w:tmpl w:val="D9E25C90"/>
    <w:lvl w:ilvl="0" w:tplc="ED4AB5E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7115"/>
    <w:multiLevelType w:val="hybridMultilevel"/>
    <w:tmpl w:val="DCB6BA3A"/>
    <w:lvl w:ilvl="0" w:tplc="2C0E793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CB14"/>
    <w:multiLevelType w:val="singleLevel"/>
    <w:tmpl w:val="4CB8C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4D574349"/>
    <w:multiLevelType w:val="hybridMultilevel"/>
    <w:tmpl w:val="2A545DC4"/>
    <w:lvl w:ilvl="0" w:tplc="953EE07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D74DB"/>
    <w:multiLevelType w:val="hybridMultilevel"/>
    <w:tmpl w:val="C2F49D1E"/>
    <w:lvl w:ilvl="0" w:tplc="26341AC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48977">
    <w:abstractNumId w:val="0"/>
  </w:num>
  <w:num w:numId="2" w16cid:durableId="1898859603">
    <w:abstractNumId w:val="4"/>
  </w:num>
  <w:num w:numId="3" w16cid:durableId="1741292217">
    <w:abstractNumId w:val="1"/>
  </w:num>
  <w:num w:numId="4" w16cid:durableId="1875539409">
    <w:abstractNumId w:val="5"/>
  </w:num>
  <w:num w:numId="5" w16cid:durableId="666052724">
    <w:abstractNumId w:val="3"/>
  </w:num>
  <w:num w:numId="6" w16cid:durableId="1267035954">
    <w:abstractNumId w:val="2"/>
  </w:num>
  <w:num w:numId="7" w16cid:durableId="1322808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D42"/>
    <w:rsid w:val="0009318B"/>
    <w:rsid w:val="00181074"/>
    <w:rsid w:val="00183CAB"/>
    <w:rsid w:val="001D09EE"/>
    <w:rsid w:val="002112A5"/>
    <w:rsid w:val="002562A3"/>
    <w:rsid w:val="0026712A"/>
    <w:rsid w:val="0030544F"/>
    <w:rsid w:val="00390BAC"/>
    <w:rsid w:val="003B0C6B"/>
    <w:rsid w:val="004248C6"/>
    <w:rsid w:val="00491762"/>
    <w:rsid w:val="004B2E48"/>
    <w:rsid w:val="004D713A"/>
    <w:rsid w:val="005321A6"/>
    <w:rsid w:val="00536203"/>
    <w:rsid w:val="0058365C"/>
    <w:rsid w:val="005F7063"/>
    <w:rsid w:val="00667A89"/>
    <w:rsid w:val="00670B1B"/>
    <w:rsid w:val="006827BC"/>
    <w:rsid w:val="006C5264"/>
    <w:rsid w:val="00706FDB"/>
    <w:rsid w:val="0071697F"/>
    <w:rsid w:val="00762ABE"/>
    <w:rsid w:val="00795277"/>
    <w:rsid w:val="007A4D73"/>
    <w:rsid w:val="007B07E8"/>
    <w:rsid w:val="007E47F7"/>
    <w:rsid w:val="007F4546"/>
    <w:rsid w:val="00805D3C"/>
    <w:rsid w:val="00840487"/>
    <w:rsid w:val="008A537E"/>
    <w:rsid w:val="008E1406"/>
    <w:rsid w:val="00911D5A"/>
    <w:rsid w:val="009622C7"/>
    <w:rsid w:val="0098237B"/>
    <w:rsid w:val="0099264C"/>
    <w:rsid w:val="00997B93"/>
    <w:rsid w:val="009B459F"/>
    <w:rsid w:val="009D6151"/>
    <w:rsid w:val="00A65F48"/>
    <w:rsid w:val="00AB620A"/>
    <w:rsid w:val="00AC53E3"/>
    <w:rsid w:val="00AD6196"/>
    <w:rsid w:val="00AE40F8"/>
    <w:rsid w:val="00AF2F6B"/>
    <w:rsid w:val="00B463CA"/>
    <w:rsid w:val="00C647FD"/>
    <w:rsid w:val="00C6581F"/>
    <w:rsid w:val="00CB4D21"/>
    <w:rsid w:val="00D004C1"/>
    <w:rsid w:val="00DC4FD6"/>
    <w:rsid w:val="00DE0F40"/>
    <w:rsid w:val="00DF5306"/>
    <w:rsid w:val="00E42928"/>
    <w:rsid w:val="00E746F7"/>
    <w:rsid w:val="00E774C5"/>
    <w:rsid w:val="00E82C66"/>
    <w:rsid w:val="00EC5CA9"/>
    <w:rsid w:val="00F04868"/>
    <w:rsid w:val="00F26E31"/>
    <w:rsid w:val="00F66EC2"/>
    <w:rsid w:val="00F90D42"/>
    <w:rsid w:val="00FC697F"/>
    <w:rsid w:val="00FE3DAA"/>
    <w:rsid w:val="034F28C7"/>
    <w:rsid w:val="07A90468"/>
    <w:rsid w:val="3F9C505E"/>
    <w:rsid w:val="4DC1738F"/>
    <w:rsid w:val="6B323FA7"/>
    <w:rsid w:val="6FAB13B8"/>
    <w:rsid w:val="7771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5616"/>
  <w15:docId w15:val="{FE100B21-1CB9-413B-B748-88C7B88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List"/>
    <w:basedOn w:val="a4"/>
    <w:qFormat/>
    <w:rPr>
      <w:rFonts w:cs="Lucida Sans"/>
    </w:rPr>
  </w:style>
  <w:style w:type="paragraph" w:styleId="a8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a">
    <w:name w:val="Пі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Цитата Знак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d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0"/>
    <w:link w:val="af"/>
    <w:uiPriority w:val="30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4906-9669-4C46-A755-C0205838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 Василь</dc:creator>
  <cp:lastModifiedBy>Svitlana</cp:lastModifiedBy>
  <cp:revision>61</cp:revision>
  <cp:lastPrinted>2025-07-02T05:46:00Z</cp:lastPrinted>
  <dcterms:created xsi:type="dcterms:W3CDTF">2025-05-20T16:49:00Z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11290BE74E304851ACC58616FD0A05D9_12</vt:lpwstr>
  </property>
</Properties>
</file>