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51F2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C060B7" w14:textId="77777777" w:rsidR="00ED78BE" w:rsidRPr="009920F8" w:rsidRDefault="008D701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920F8">
        <w:rPr>
          <w:rFonts w:ascii="Times New Roman" w:hAnsi="Times New Roman" w:cs="Times New Roman"/>
          <w:b/>
          <w:bCs/>
        </w:rPr>
        <w:t>НАВЧАЛЬНА ПРОГРАМА</w:t>
      </w:r>
    </w:p>
    <w:p w14:paraId="434B4856" w14:textId="77777777" w:rsidR="00ED78BE" w:rsidRPr="009920F8" w:rsidRDefault="008D701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920F8">
        <w:rPr>
          <w:rFonts w:ascii="Times New Roman" w:hAnsi="Times New Roman" w:cs="Times New Roman"/>
          <w:b/>
          <w:bCs/>
        </w:rPr>
        <w:t>БПР МЕДИЧНИХ ТА ФАРМАЦЕВТИЧНИХ ПРАЦІВНИКІВ</w:t>
      </w:r>
    </w:p>
    <w:p w14:paraId="3A22EEBF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379"/>
      </w:tblGrid>
      <w:tr w:rsidR="00ED78BE" w:rsidRPr="009920F8" w14:paraId="3197872B" w14:textId="77777777">
        <w:tc>
          <w:tcPr>
            <w:tcW w:w="2830" w:type="dxa"/>
          </w:tcPr>
          <w:p w14:paraId="692DF79E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Тема заходу</w:t>
            </w:r>
          </w:p>
        </w:tc>
        <w:tc>
          <w:tcPr>
            <w:tcW w:w="6379" w:type="dxa"/>
          </w:tcPr>
          <w:p w14:paraId="23814742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Правила організації і техніки проведення щеплень відповідно до оновленого Календаря профілактичних щеплень в Україні. Несприятливі події після імунізації та навички надання невідкладної допомоги</w:t>
            </w:r>
          </w:p>
        </w:tc>
      </w:tr>
      <w:tr w:rsidR="00ED78BE" w:rsidRPr="009920F8" w14:paraId="78BA4B38" w14:textId="77777777">
        <w:tc>
          <w:tcPr>
            <w:tcW w:w="2830" w:type="dxa"/>
          </w:tcPr>
          <w:p w14:paraId="1D294E72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Вид заходу</w:t>
            </w:r>
          </w:p>
        </w:tc>
        <w:tc>
          <w:tcPr>
            <w:tcW w:w="6379" w:type="dxa"/>
          </w:tcPr>
          <w:p w14:paraId="54B32C60" w14:textId="3D4E3386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Майстер-клас</w:t>
            </w:r>
          </w:p>
        </w:tc>
      </w:tr>
      <w:tr w:rsidR="00ED78BE" w:rsidRPr="009920F8" w14:paraId="0E2BA1E2" w14:textId="77777777">
        <w:trPr>
          <w:trHeight w:val="1920"/>
        </w:trPr>
        <w:tc>
          <w:tcPr>
            <w:tcW w:w="2830" w:type="dxa"/>
          </w:tcPr>
          <w:p w14:paraId="1DE49636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 xml:space="preserve">Цільова аудиторія </w:t>
            </w:r>
          </w:p>
        </w:tc>
        <w:tc>
          <w:tcPr>
            <w:tcW w:w="6379" w:type="dxa"/>
          </w:tcPr>
          <w:p w14:paraId="65635AA0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Захід розрахований на фахівців:</w:t>
            </w:r>
          </w:p>
          <w:p w14:paraId="2F989121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B047323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Лікарських спеціальностей:</w:t>
            </w:r>
          </w:p>
          <w:p w14:paraId="44C1B884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-</w:t>
            </w:r>
            <w:r w:rsidRPr="009920F8">
              <w:rPr>
                <w:rFonts w:ascii="Times New Roman" w:hAnsi="Times New Roman" w:cs="Times New Roman"/>
              </w:rPr>
              <w:t xml:space="preserve"> загальна практика сімейна медицина (лікар загальної практики - сімейний лікар); </w:t>
            </w:r>
          </w:p>
          <w:p w14:paraId="56D07FA3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педіатрія (лікар-педіатр);</w:t>
            </w:r>
          </w:p>
          <w:p w14:paraId="17BD6855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- дитяча імунологія (лікар-імунолог дитячий); </w:t>
            </w:r>
          </w:p>
          <w:p w14:paraId="58584FBB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імунологія (лікар-імунолог);</w:t>
            </w:r>
          </w:p>
          <w:p w14:paraId="4EF7A461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</w:rPr>
              <w:t>- внутрішні хвороби (лікар-терапевт).</w:t>
            </w:r>
          </w:p>
          <w:p w14:paraId="0D6A0937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7F02CA4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Спеціальності молодших спеціалістів з медичною освітою:</w:t>
            </w:r>
          </w:p>
          <w:p w14:paraId="13ED691F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9920F8">
              <w:rPr>
                <w:rFonts w:ascii="Times New Roman" w:hAnsi="Times New Roman" w:cs="Times New Roman"/>
              </w:rPr>
              <w:t xml:space="preserve">загальна практика сімейна медицина ( сестра медична (брат медичний); </w:t>
            </w:r>
          </w:p>
          <w:p w14:paraId="15E68010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педіатрія (сестра медична (брат медичний) в педіатрії);</w:t>
            </w:r>
          </w:p>
          <w:p w14:paraId="46CBA953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</w:rPr>
              <w:t>- лікувальна справа (фельдшер).</w:t>
            </w:r>
          </w:p>
        </w:tc>
      </w:tr>
      <w:tr w:rsidR="00ED78BE" w:rsidRPr="009920F8" w14:paraId="5BD19492" w14:textId="77777777">
        <w:tc>
          <w:tcPr>
            <w:tcW w:w="2830" w:type="dxa"/>
          </w:tcPr>
          <w:p w14:paraId="3AEE0E94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Мета заходу</w:t>
            </w:r>
          </w:p>
        </w:tc>
        <w:tc>
          <w:tcPr>
            <w:tcW w:w="6379" w:type="dxa"/>
          </w:tcPr>
          <w:p w14:paraId="59B21570" w14:textId="6B27B8C5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Підвищення професійної компетентності медичних фахівців шляхом проведення майстер-класу, присвяченого:</w:t>
            </w:r>
          </w:p>
          <w:p w14:paraId="1FED4314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організації та техніці проведення профілактичних щеплень відповідно до оновленого Календаря щеплень України;</w:t>
            </w:r>
          </w:p>
          <w:p w14:paraId="6C33247D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огляду щодо вакцинації проти вірусу папіломи людини;</w:t>
            </w:r>
          </w:p>
          <w:p w14:paraId="010BC188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своєчасному розпізнаванню, реєстрації та реагуванню на несприятливі події після імунізації;</w:t>
            </w:r>
          </w:p>
          <w:p w14:paraId="3B0C2419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відпрацюванню практичних навичок надання невідкладної медичної допомоги при ускладненнях, що можуть виникати під час чи після вакцинації.</w:t>
            </w:r>
          </w:p>
        </w:tc>
      </w:tr>
      <w:tr w:rsidR="00ED78BE" w:rsidRPr="009920F8" w14:paraId="59E4E1CD" w14:textId="77777777">
        <w:tc>
          <w:tcPr>
            <w:tcW w:w="2830" w:type="dxa"/>
          </w:tcPr>
          <w:p w14:paraId="123D80E7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 xml:space="preserve">Перелік </w:t>
            </w:r>
            <w:proofErr w:type="spellStart"/>
            <w:r w:rsidRPr="009920F8">
              <w:rPr>
                <w:rFonts w:ascii="Times New Roman" w:hAnsi="Times New Roman" w:cs="Times New Roman"/>
                <w:color w:val="000000"/>
              </w:rPr>
              <w:t>компетентностей</w:t>
            </w:r>
            <w:proofErr w:type="spellEnd"/>
            <w:r w:rsidRPr="009920F8">
              <w:rPr>
                <w:rFonts w:ascii="Times New Roman" w:hAnsi="Times New Roman" w:cs="Times New Roman"/>
                <w:color w:val="000000"/>
              </w:rPr>
              <w:t xml:space="preserve">, що набуваються або вдосконалюються (результати навчання) </w:t>
            </w:r>
          </w:p>
        </w:tc>
        <w:tc>
          <w:tcPr>
            <w:tcW w:w="6379" w:type="dxa"/>
          </w:tcPr>
          <w:p w14:paraId="5C86EBEB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I. Організаційні компетентності</w:t>
            </w:r>
          </w:p>
          <w:p w14:paraId="3F157395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1) Планування та організація процесу вакцинації на рівні закладу охорони здоров’я. 2) Дотримання вимог інфекційного контролю та правил безпеки при роботі з вакцинами. 3) Правильне ведення медичної документації, у т. ч. внесення даних до електронних систем (</w:t>
            </w:r>
            <w:proofErr w:type="spellStart"/>
            <w:r w:rsidRPr="009920F8">
              <w:rPr>
                <w:rFonts w:ascii="Times New Roman" w:hAnsi="Times New Roman" w:cs="Times New Roman"/>
              </w:rPr>
              <w:t>eHealth</w:t>
            </w:r>
            <w:proofErr w:type="spellEnd"/>
            <w:r w:rsidRPr="009920F8">
              <w:rPr>
                <w:rFonts w:ascii="Times New Roman" w:hAnsi="Times New Roman" w:cs="Times New Roman"/>
              </w:rPr>
              <w:t>).</w:t>
            </w:r>
          </w:p>
          <w:p w14:paraId="34FFF378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2C225A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II. Технічні та практичні навички</w:t>
            </w:r>
          </w:p>
          <w:p w14:paraId="6A2EB5C7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1) Дотримання стандартів зберігання, підготовки та введення вакцин відповідно до інструкцій.</w:t>
            </w:r>
          </w:p>
          <w:p w14:paraId="1D008064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2) Володіння сучасними техніками проведення щеплень у дітей та дорослих.</w:t>
            </w:r>
          </w:p>
          <w:p w14:paraId="374A41CA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3) Використання алгоритмів визначення мінімальних інтервалів та схем вакцинації за оновленим Календарем профілактичних щеплень.</w:t>
            </w:r>
          </w:p>
          <w:p w14:paraId="36CAA478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147161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III. Клінічні компетентності </w:t>
            </w:r>
          </w:p>
          <w:p w14:paraId="064E4B4B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1) Розпізнавання, класифікація та належне реагування на несприятливі події після імунізації (НППІ).</w:t>
            </w:r>
          </w:p>
          <w:p w14:paraId="04AB2071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lastRenderedPageBreak/>
              <w:t>2) Надання першої невідкладної допомоги при розвитку алергічних реакцій, анафілаксії та інших ускладнень.</w:t>
            </w:r>
          </w:p>
          <w:p w14:paraId="34083843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3) Використання стандартних протоколів дій у випадку надзвичайних ситуацій під час вакцинації.</w:t>
            </w:r>
          </w:p>
          <w:p w14:paraId="3A63386F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78C8DA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IV. Комунікаційні та поведінкові навички </w:t>
            </w:r>
          </w:p>
          <w:p w14:paraId="33BE1475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1)Проведення ефективної комунікації з пацієнтами та їх законними представниками щодо переваг вакцинації, можливих реакцій та правил подальшого спостереження.</w:t>
            </w:r>
          </w:p>
          <w:p w14:paraId="1E23AE5D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2)Використання навичок міждисциплінарної взаємодії та командної роботи у сфері імунопрофілактики.</w:t>
            </w:r>
            <w:r w:rsidRPr="009920F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44A8680C" wp14:editId="0BAC7F49">
                      <wp:simplePos x="0" y="0"/>
                      <wp:positionH relativeFrom="column">
                        <wp:posOffset>1187360</wp:posOffset>
                      </wp:positionH>
                      <wp:positionV relativeFrom="paragraph">
                        <wp:posOffset>1276875</wp:posOffset>
                      </wp:positionV>
                      <wp:extent cx="358" cy="358"/>
                      <wp:effectExtent l="57150" t="38100" r="38100" b="57150"/>
                      <wp:wrapNone/>
                      <wp:docPr id="1026" name="Рукописні дан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358" cy="358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1026" filled="f" stroked="f" style="position:absolute;margin-left:93.49pt;margin-top:100.54pt;width:0.03pt;height:0.03pt;z-index:3;mso-position-horizontal-relative:text;mso-position-vertical-relative:text;mso-width-relative:page;mso-height-relative:page;mso-wrap-distance-left:0.0pt;mso-wrap-distance-right:0.0pt;visibility:visible;">
                      <v:fill/>
                      <o:ink i="AC8dBOQCmAQCDw5IEUSEp+IERWRG2ARQABUAAIA/AACAPwAAAAAAAAAACgUCgwCDAA==&#10;"/>
                    </v:shape>
                  </w:pict>
                </mc:Fallback>
              </mc:AlternateContent>
            </w:r>
            <w:r w:rsidRPr="009920F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739BCEB6" wp14:editId="3B5608FD">
                      <wp:simplePos x="0" y="0"/>
                      <wp:positionH relativeFrom="column">
                        <wp:posOffset>1479320</wp:posOffset>
                      </wp:positionH>
                      <wp:positionV relativeFrom="paragraph">
                        <wp:posOffset>1708874</wp:posOffset>
                      </wp:positionV>
                      <wp:extent cx="358" cy="360"/>
                      <wp:effectExtent l="57150" t="38100" r="38100" b="57150"/>
                      <wp:wrapNone/>
                      <wp:docPr id="1027" name="Рукописні дан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>
                                <a14:cpLocks xmlns:a14="http://schemas.microsoft.com/office/drawing/2010/main"/>
                              </w14:cNvContentPartPr>
                            </w14:nvContentPartPr>
                            <w14:xfrm>
                              <a:off x="0" y="0"/>
                              <a:ext cx="358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1027" filled="f" stroked="f" style="position:absolute;margin-left:116.48pt;margin-top:134.56pt;width:0.03pt;height:0.03pt;z-index:2;mso-position-horizontal-relative:text;mso-position-vertical-relative:text;mso-width-relative:page;mso-height-relative:page;mso-wrap-distance-left:0.0pt;mso-wrap-distance-right:0.0pt;visibility:visible;">
                      <v:fill/>
                      <o:ink i="AC8dBOQCmAQCDw5IEUSEp+IERWRG2ARQABUAAIA/AACAPwAAAAAAAAAACgUCgwCDAA==&#10;"/>
                    </v:shape>
                  </w:pict>
                </mc:Fallback>
              </mc:AlternateContent>
            </w:r>
          </w:p>
        </w:tc>
      </w:tr>
      <w:tr w:rsidR="00ED78BE" w:rsidRPr="009920F8" w14:paraId="7445D158" w14:textId="77777777">
        <w:tc>
          <w:tcPr>
            <w:tcW w:w="2830" w:type="dxa"/>
          </w:tcPr>
          <w:p w14:paraId="3CB76245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lastRenderedPageBreak/>
              <w:t xml:space="preserve">Опис структури заходу </w:t>
            </w:r>
          </w:p>
        </w:tc>
        <w:tc>
          <w:tcPr>
            <w:tcW w:w="6379" w:type="dxa"/>
          </w:tcPr>
          <w:p w14:paraId="6241C103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Відкриття</w:t>
            </w:r>
          </w:p>
          <w:p w14:paraId="0F968907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D138B77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Лекція 1. Національні стратегії та огляд плану впровадження змін до Календаря профілактичних щеплень затвердженого Наказом МОЗ України від 5 березня 2025 року №396 - ключові програмні напрямки</w:t>
            </w:r>
          </w:p>
          <w:p w14:paraId="11DA175F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6BF4165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Обговорення</w:t>
            </w:r>
          </w:p>
          <w:p w14:paraId="223CAE23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CF144AB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Лекція 2. Основні оновлення Календаря профілактичних щеплень</w:t>
            </w:r>
          </w:p>
          <w:p w14:paraId="1EE40055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BED76CD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Лекція 3. Вакцина проти вірусу папіломи людини (ВПЛ): епідеміологічні відомості, вакцини, схеми застосування та ефективність, вимоги при зберіганні/транспортуванні, способи використання, протипоказання та безпека вакцин</w:t>
            </w:r>
          </w:p>
          <w:p w14:paraId="4FF3599C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5C185EC" w14:textId="1A008B5E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Лекція 4. Комунікація з батьками та опікунами щодо щеплень</w:t>
            </w:r>
            <w:r w:rsidR="00E705CA" w:rsidRPr="009920F8">
              <w:rPr>
                <w:rFonts w:ascii="Times New Roman" w:hAnsi="Times New Roman" w:cs="Times New Roman"/>
                <w:color w:val="000000"/>
              </w:rPr>
              <w:t>. Переконливі факти для проведення профілактичних щеплень.</w:t>
            </w:r>
          </w:p>
          <w:p w14:paraId="2C3B76D1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049FFBB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Лекція 5.</w:t>
            </w:r>
            <w:r w:rsidRPr="009920F8">
              <w:rPr>
                <w:rFonts w:ascii="Times New Roman" w:hAnsi="Times New Roman" w:cs="Times New Roman"/>
              </w:rPr>
              <w:t xml:space="preserve"> </w:t>
            </w:r>
            <w:r w:rsidRPr="009920F8">
              <w:rPr>
                <w:rFonts w:ascii="Times New Roman" w:hAnsi="Times New Roman" w:cs="Times New Roman"/>
                <w:color w:val="000000"/>
              </w:rPr>
              <w:t xml:space="preserve">Несприятливі події після імунізації: класифікація, особливості, звітність та подання карт-повідомлень в рамках здійснення </w:t>
            </w:r>
            <w:proofErr w:type="spellStart"/>
            <w:r w:rsidRPr="009920F8">
              <w:rPr>
                <w:rFonts w:ascii="Times New Roman" w:hAnsi="Times New Roman" w:cs="Times New Roman"/>
                <w:color w:val="000000"/>
              </w:rPr>
              <w:t>фармаконагляду</w:t>
            </w:r>
            <w:proofErr w:type="spellEnd"/>
          </w:p>
          <w:p w14:paraId="31E44735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D8C7E6B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Лекція 6. Діагностика невідкладних станів та перша допомога</w:t>
            </w:r>
          </w:p>
          <w:p w14:paraId="31DA9FA5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B2B4F70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Практична вправа 1. Діагностика невідкладних станів та перша допомога</w:t>
            </w:r>
          </w:p>
          <w:p w14:paraId="37935501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A30CE9F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Лекція 7. Реєстрація даних про проведені щеплення в медично-обліковій документації та ЕСОЗ</w:t>
            </w:r>
          </w:p>
          <w:p w14:paraId="2D7379A3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20E2DD1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 xml:space="preserve">Практична вправа 2. Організація </w:t>
            </w:r>
            <w:proofErr w:type="spellStart"/>
            <w:r w:rsidRPr="009920F8">
              <w:rPr>
                <w:rFonts w:ascii="Times New Roman" w:hAnsi="Times New Roman" w:cs="Times New Roman"/>
                <w:color w:val="000000"/>
              </w:rPr>
              <w:t>вакцинальної</w:t>
            </w:r>
            <w:proofErr w:type="spellEnd"/>
            <w:r w:rsidRPr="009920F8">
              <w:rPr>
                <w:rFonts w:ascii="Times New Roman" w:hAnsi="Times New Roman" w:cs="Times New Roman"/>
                <w:color w:val="000000"/>
              </w:rPr>
              <w:t xml:space="preserve"> сесії </w:t>
            </w:r>
          </w:p>
          <w:p w14:paraId="35008F55" w14:textId="77777777" w:rsidR="00ED78BE" w:rsidRPr="009920F8" w:rsidRDefault="00ED78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18772A3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 xml:space="preserve">Фінальне тестування, форма </w:t>
            </w:r>
            <w:proofErr w:type="spellStart"/>
            <w:r w:rsidRPr="009920F8">
              <w:rPr>
                <w:rFonts w:ascii="Times New Roman" w:hAnsi="Times New Roman" w:cs="Times New Roman"/>
                <w:color w:val="000000"/>
              </w:rPr>
              <w:t>зворотнього</w:t>
            </w:r>
            <w:proofErr w:type="spellEnd"/>
            <w:r w:rsidRPr="009920F8">
              <w:rPr>
                <w:rFonts w:ascii="Times New Roman" w:hAnsi="Times New Roman" w:cs="Times New Roman"/>
                <w:color w:val="000000"/>
              </w:rPr>
              <w:t xml:space="preserve"> зв’язку та підбиття підсумків</w:t>
            </w:r>
          </w:p>
        </w:tc>
      </w:tr>
      <w:tr w:rsidR="00ED78BE" w:rsidRPr="009920F8" w14:paraId="0E715BEC" w14:textId="77777777">
        <w:tc>
          <w:tcPr>
            <w:tcW w:w="2830" w:type="dxa"/>
          </w:tcPr>
          <w:p w14:paraId="357D202B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Загальний обсяг навчального навантаження</w:t>
            </w:r>
          </w:p>
        </w:tc>
        <w:tc>
          <w:tcPr>
            <w:tcW w:w="6379" w:type="dxa"/>
          </w:tcPr>
          <w:p w14:paraId="1C47ED90" w14:textId="512156FF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1</w:t>
            </w:r>
            <w:r w:rsidR="00E705CA" w:rsidRPr="009920F8">
              <w:rPr>
                <w:rFonts w:ascii="Times New Roman" w:hAnsi="Times New Roman" w:cs="Times New Roman"/>
              </w:rPr>
              <w:t>0</w:t>
            </w:r>
            <w:r w:rsidRPr="009920F8">
              <w:rPr>
                <w:rFonts w:ascii="Times New Roman" w:hAnsi="Times New Roman" w:cs="Times New Roman"/>
              </w:rPr>
              <w:t xml:space="preserve"> академічних годин </w:t>
            </w:r>
          </w:p>
        </w:tc>
      </w:tr>
      <w:tr w:rsidR="00ED78BE" w:rsidRPr="009920F8" w14:paraId="1A1F925E" w14:textId="77777777">
        <w:tc>
          <w:tcPr>
            <w:tcW w:w="2830" w:type="dxa"/>
          </w:tcPr>
          <w:p w14:paraId="2DE01F76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>Форми організації та проведення заходу</w:t>
            </w:r>
          </w:p>
        </w:tc>
        <w:tc>
          <w:tcPr>
            <w:tcW w:w="6379" w:type="dxa"/>
          </w:tcPr>
          <w:p w14:paraId="0A23CA96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Лекція, робота в групах, симуляції, дискусії тощо</w:t>
            </w:r>
          </w:p>
        </w:tc>
      </w:tr>
      <w:tr w:rsidR="00ED78BE" w:rsidRPr="009920F8" w14:paraId="3436D1EF" w14:textId="77777777">
        <w:tc>
          <w:tcPr>
            <w:tcW w:w="2830" w:type="dxa"/>
          </w:tcPr>
          <w:p w14:paraId="483EEAA1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lastRenderedPageBreak/>
              <w:t>Методи організації проведення заходу</w:t>
            </w:r>
          </w:p>
        </w:tc>
        <w:tc>
          <w:tcPr>
            <w:tcW w:w="6379" w:type="dxa"/>
          </w:tcPr>
          <w:p w14:paraId="30BBEB18" w14:textId="77777777" w:rsidR="00ED78BE" w:rsidRPr="009920F8" w:rsidRDefault="008D7011">
            <w:pPr>
              <w:tabs>
                <w:tab w:val="left" w:pos="55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Опанування лекційного матеріалу, тренувальний тощо</w:t>
            </w:r>
          </w:p>
        </w:tc>
      </w:tr>
      <w:tr w:rsidR="00ED78BE" w:rsidRPr="009920F8" w14:paraId="2ADCB459" w14:textId="77777777">
        <w:tc>
          <w:tcPr>
            <w:tcW w:w="2830" w:type="dxa"/>
          </w:tcPr>
          <w:p w14:paraId="36208BFA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 xml:space="preserve"> Матеріально-технічне забезпечення освітнього заходу </w:t>
            </w:r>
          </w:p>
        </w:tc>
        <w:tc>
          <w:tcPr>
            <w:tcW w:w="6379" w:type="dxa"/>
          </w:tcPr>
          <w:p w14:paraId="01C83CA8" w14:textId="77777777" w:rsidR="00645B3E" w:rsidRDefault="008D7011" w:rsidP="00645B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- </w:t>
            </w:r>
            <w:r w:rsidR="00645B3E">
              <w:rPr>
                <w:rFonts w:ascii="Times New Roman" w:hAnsi="Times New Roman" w:cs="Times New Roman"/>
              </w:rPr>
              <w:t>презентації;</w:t>
            </w:r>
          </w:p>
          <w:p w14:paraId="32E8DFC1" w14:textId="2D5DC7D7" w:rsidR="00ED78BE" w:rsidRPr="009920F8" w:rsidRDefault="008D7011" w:rsidP="00645B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- інформаційними матеріалами, плакатами з </w:t>
            </w:r>
            <w:proofErr w:type="spellStart"/>
            <w:r w:rsidRPr="009920F8">
              <w:rPr>
                <w:rFonts w:ascii="Times New Roman" w:hAnsi="Times New Roman" w:cs="Times New Roman"/>
              </w:rPr>
              <w:t>вакцинаційні</w:t>
            </w:r>
            <w:proofErr w:type="spellEnd"/>
            <w:r w:rsidRPr="009920F8">
              <w:rPr>
                <w:rFonts w:ascii="Times New Roman" w:hAnsi="Times New Roman" w:cs="Times New Roman"/>
              </w:rPr>
              <w:t xml:space="preserve"> матеріали, в тому числі </w:t>
            </w:r>
            <w:proofErr w:type="spellStart"/>
            <w:r w:rsidRPr="009920F8">
              <w:rPr>
                <w:rFonts w:ascii="Times New Roman" w:hAnsi="Times New Roman" w:cs="Times New Roman"/>
              </w:rPr>
              <w:t>візуалізаційними</w:t>
            </w:r>
            <w:proofErr w:type="spellEnd"/>
            <w:r w:rsidRPr="009920F8">
              <w:rPr>
                <w:rFonts w:ascii="Times New Roman" w:hAnsi="Times New Roman" w:cs="Times New Roman"/>
              </w:rPr>
              <w:t xml:space="preserve"> матеріалами надання екстреної медичної допомоги при невідкладних станах.</w:t>
            </w:r>
          </w:p>
        </w:tc>
      </w:tr>
      <w:tr w:rsidR="00ED78BE" w:rsidRPr="009920F8" w14:paraId="2F9DA0C2" w14:textId="77777777">
        <w:tc>
          <w:tcPr>
            <w:tcW w:w="2830" w:type="dxa"/>
          </w:tcPr>
          <w:p w14:paraId="6FFF8DE0" w14:textId="77777777" w:rsidR="00ED78BE" w:rsidRPr="009920F8" w:rsidRDefault="008D7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 xml:space="preserve">Форми підсумкового контролю </w:t>
            </w:r>
          </w:p>
        </w:tc>
        <w:tc>
          <w:tcPr>
            <w:tcW w:w="6379" w:type="dxa"/>
          </w:tcPr>
          <w:p w14:paraId="39F2B885" w14:textId="77777777" w:rsidR="00ED78BE" w:rsidRPr="009920F8" w:rsidRDefault="008D70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920F8">
              <w:rPr>
                <w:rFonts w:ascii="Times New Roman" w:hAnsi="Times New Roman" w:cs="Times New Roman"/>
                <w:bCs/>
              </w:rPr>
              <w:t>Тестування</w:t>
            </w:r>
          </w:p>
        </w:tc>
      </w:tr>
    </w:tbl>
    <w:p w14:paraId="4D2CEF2B" w14:textId="77777777" w:rsidR="00ED78BE" w:rsidRPr="009920F8" w:rsidRDefault="00ED78BE"/>
    <w:p w14:paraId="4FE02368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BB1E00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7AE24E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A48B149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C62D89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CDCFE4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AD1F9E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0A2B650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38BA3B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4D58DB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6568C79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57B94C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6C936A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9603E8C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4C5036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6ADE8CE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C901BA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53FCB6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B12982D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364C9D1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C9F3E1A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1E49DA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042B4D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FFE1386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FBA8B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D5151FE" w14:textId="77777777" w:rsidR="00E705CA" w:rsidRPr="009920F8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293C306" w14:textId="77777777" w:rsidR="00E705CA" w:rsidRPr="009920F8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75D653" w14:textId="77777777" w:rsidR="00E705CA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C5EA03" w14:textId="77777777" w:rsidR="00645B3E" w:rsidRDefault="00645B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4384E66" w14:textId="77777777" w:rsidR="00645B3E" w:rsidRDefault="00645B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83B7C3" w14:textId="77777777" w:rsidR="00645B3E" w:rsidRDefault="00645B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03D04F0" w14:textId="77777777" w:rsidR="00645B3E" w:rsidRDefault="00645B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2452C3" w14:textId="77777777" w:rsidR="00645B3E" w:rsidRDefault="00645B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34F959" w14:textId="77777777" w:rsidR="00645B3E" w:rsidRDefault="00645B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1E77FE7" w14:textId="77777777" w:rsidR="00645B3E" w:rsidRDefault="00645B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29D135D" w14:textId="77777777" w:rsidR="00645B3E" w:rsidRPr="009920F8" w:rsidRDefault="00645B3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386377" w14:textId="77777777" w:rsidR="00E705CA" w:rsidRPr="009920F8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3B43BEA" w14:textId="77777777" w:rsidR="00E705CA" w:rsidRPr="009920F8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FE50ABF" w14:textId="77777777" w:rsidR="00E705CA" w:rsidRPr="009920F8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78D51B0" w14:textId="77777777" w:rsidR="00E705CA" w:rsidRPr="009920F8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E1B1A7" w14:textId="77777777" w:rsidR="00E705CA" w:rsidRPr="009920F8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40A13AF" w14:textId="77777777" w:rsidR="00E705CA" w:rsidRPr="009920F8" w:rsidRDefault="00E705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4E44F8C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CC7AAA" w14:textId="77777777" w:rsidR="00ED78BE" w:rsidRPr="009920F8" w:rsidRDefault="008D701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920F8">
        <w:rPr>
          <w:rFonts w:ascii="Times New Roman" w:hAnsi="Times New Roman" w:cs="Times New Roman"/>
          <w:b/>
          <w:bCs/>
        </w:rPr>
        <w:lastRenderedPageBreak/>
        <w:t>КАРТКА ЗАХОДУ</w:t>
      </w:r>
    </w:p>
    <w:p w14:paraId="108A8635" w14:textId="77777777" w:rsidR="00ED78BE" w:rsidRPr="009920F8" w:rsidRDefault="008D701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920F8">
        <w:rPr>
          <w:rFonts w:ascii="Times New Roman" w:hAnsi="Times New Roman" w:cs="Times New Roman"/>
          <w:b/>
          <w:bCs/>
        </w:rPr>
        <w:t>БПР МЕДИЧНИХ ТА ФАРМАЦЕВТИЧНИХ ПРАЦІВНИКІВ</w:t>
      </w:r>
    </w:p>
    <w:p w14:paraId="2D4B4671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ED78BE" w:rsidRPr="009920F8" w14:paraId="68858FFF" w14:textId="77777777">
        <w:trPr>
          <w:trHeight w:val="300"/>
        </w:trPr>
        <w:tc>
          <w:tcPr>
            <w:tcW w:w="3114" w:type="dxa"/>
          </w:tcPr>
          <w:p w14:paraId="3BDA36D1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Назва заходу БПР</w:t>
            </w:r>
          </w:p>
        </w:tc>
        <w:tc>
          <w:tcPr>
            <w:tcW w:w="6520" w:type="dxa"/>
          </w:tcPr>
          <w:p w14:paraId="3D75BAA1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Правила організації і техніки проведення щеплень відповідно до оновленого Календаря профілактичних щеплень в Україні. Несприятливі події після імунізації та навички надання невідкладної допомоги</w:t>
            </w:r>
          </w:p>
        </w:tc>
      </w:tr>
      <w:tr w:rsidR="00ED78BE" w:rsidRPr="009920F8" w14:paraId="7141F32C" w14:textId="77777777">
        <w:trPr>
          <w:trHeight w:val="300"/>
        </w:trPr>
        <w:tc>
          <w:tcPr>
            <w:tcW w:w="3114" w:type="dxa"/>
          </w:tcPr>
          <w:p w14:paraId="66F21DD9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71700377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Державна установа «Хмельницький обласний центр контролю та профілактики </w:t>
            </w:r>
            <w:proofErr w:type="spellStart"/>
            <w:r w:rsidRPr="009920F8">
              <w:rPr>
                <w:rFonts w:ascii="Times New Roman" w:hAnsi="Times New Roman" w:cs="Times New Roman"/>
              </w:rPr>
              <w:t>хвороб</w:t>
            </w:r>
            <w:proofErr w:type="spellEnd"/>
            <w:r w:rsidRPr="009920F8">
              <w:rPr>
                <w:rFonts w:ascii="Times New Roman" w:hAnsi="Times New Roman" w:cs="Times New Roman"/>
              </w:rPr>
              <w:t xml:space="preserve"> МОЗ України»</w:t>
            </w:r>
          </w:p>
        </w:tc>
      </w:tr>
      <w:tr w:rsidR="00ED78BE" w:rsidRPr="009920F8" w14:paraId="21CCA1A8" w14:textId="77777777">
        <w:trPr>
          <w:trHeight w:val="300"/>
        </w:trPr>
        <w:tc>
          <w:tcPr>
            <w:tcW w:w="3114" w:type="dxa"/>
          </w:tcPr>
          <w:p w14:paraId="0A1AE46F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Мета заходу</w:t>
            </w:r>
          </w:p>
        </w:tc>
        <w:tc>
          <w:tcPr>
            <w:tcW w:w="6520" w:type="dxa"/>
          </w:tcPr>
          <w:p w14:paraId="44BA3D22" w14:textId="42B8416B" w:rsidR="00ED78BE" w:rsidRPr="009920F8" w:rsidRDefault="00E705CA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П</w:t>
            </w:r>
            <w:r w:rsidR="008D7011" w:rsidRPr="009920F8">
              <w:rPr>
                <w:rFonts w:ascii="Times New Roman" w:hAnsi="Times New Roman" w:cs="Times New Roman"/>
              </w:rPr>
              <w:t>ідвищення професійної компетентності медичних фахівців шляхом проведення тренінгу, присвяченого:</w:t>
            </w:r>
          </w:p>
          <w:p w14:paraId="37C80DC7" w14:textId="77777777" w:rsidR="00ED78BE" w:rsidRPr="009920F8" w:rsidRDefault="008D7011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організації та техніці проведення профілактичних щеплень відповідно до оновленого Календаря щеплень України;</w:t>
            </w:r>
          </w:p>
          <w:p w14:paraId="10C56FA0" w14:textId="77777777" w:rsidR="00ED78BE" w:rsidRPr="009920F8" w:rsidRDefault="008D7011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огляду щодо вакцинації проти вірусу папіломи людини;</w:t>
            </w:r>
          </w:p>
          <w:p w14:paraId="015808EC" w14:textId="77777777" w:rsidR="00ED78BE" w:rsidRPr="009920F8" w:rsidRDefault="008D7011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своєчасному розпізнаванню, реєстрації та реагуванню на несприятливі події після імунізації;</w:t>
            </w:r>
          </w:p>
          <w:p w14:paraId="295AF744" w14:textId="77777777" w:rsidR="00ED78BE" w:rsidRPr="009920F8" w:rsidRDefault="008D7011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відпрацюванню практичних навичок надання невідкладної медичної допомоги при ускладненнях, що можуть виникати під час чи після вакцинації.</w:t>
            </w:r>
          </w:p>
        </w:tc>
      </w:tr>
      <w:tr w:rsidR="00ED78BE" w:rsidRPr="009920F8" w14:paraId="42811C5F" w14:textId="77777777">
        <w:tc>
          <w:tcPr>
            <w:tcW w:w="3114" w:type="dxa"/>
          </w:tcPr>
          <w:p w14:paraId="4262609E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9920F8">
              <w:rPr>
                <w:rFonts w:ascii="Times New Roman" w:hAnsi="Times New Roman" w:cs="Times New Roman"/>
              </w:rPr>
              <w:t>Вид освітнього заходу</w:t>
            </w:r>
          </w:p>
        </w:tc>
        <w:tc>
          <w:tcPr>
            <w:tcW w:w="6520" w:type="dxa"/>
          </w:tcPr>
          <w:p w14:paraId="53216088" w14:textId="6759996D" w:rsidR="00ED78BE" w:rsidRPr="009920F8" w:rsidRDefault="00E705CA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Майстер-клас</w:t>
            </w:r>
          </w:p>
        </w:tc>
      </w:tr>
      <w:tr w:rsidR="00ED78BE" w:rsidRPr="009920F8" w14:paraId="1A61AEE0" w14:textId="77777777">
        <w:tc>
          <w:tcPr>
            <w:tcW w:w="3114" w:type="dxa"/>
          </w:tcPr>
          <w:p w14:paraId="6E2A2F9E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Формат заходу</w:t>
            </w:r>
          </w:p>
        </w:tc>
        <w:tc>
          <w:tcPr>
            <w:tcW w:w="6520" w:type="dxa"/>
          </w:tcPr>
          <w:p w14:paraId="6371A8B2" w14:textId="48F506B2" w:rsidR="00ED78BE" w:rsidRPr="009920F8" w:rsidRDefault="00E705CA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Онлайн в режимі реального часу</w:t>
            </w:r>
          </w:p>
        </w:tc>
      </w:tr>
      <w:tr w:rsidR="00ED78BE" w:rsidRPr="009920F8" w14:paraId="228423B8" w14:textId="77777777">
        <w:tc>
          <w:tcPr>
            <w:tcW w:w="3114" w:type="dxa"/>
          </w:tcPr>
          <w:p w14:paraId="307E84AB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Кількість балів БПР</w:t>
            </w:r>
          </w:p>
        </w:tc>
        <w:tc>
          <w:tcPr>
            <w:tcW w:w="6520" w:type="dxa"/>
          </w:tcPr>
          <w:p w14:paraId="00B45DEE" w14:textId="76B10BD9" w:rsidR="00ED78BE" w:rsidRPr="009920F8" w:rsidRDefault="00E705CA">
            <w:pPr>
              <w:rPr>
                <w:rFonts w:ascii="Times New Roman" w:hAnsi="Times New Roman" w:cs="Times New Roman"/>
                <w:u w:val="single"/>
              </w:rPr>
            </w:pPr>
            <w:r w:rsidRPr="009920F8">
              <w:rPr>
                <w:rFonts w:ascii="Times New Roman" w:hAnsi="Times New Roman" w:cs="Times New Roman"/>
                <w:u w:val="single"/>
              </w:rPr>
              <w:t>10 балів</w:t>
            </w:r>
          </w:p>
        </w:tc>
      </w:tr>
      <w:tr w:rsidR="00ED78BE" w:rsidRPr="009920F8" w14:paraId="0CE541AF" w14:textId="77777777">
        <w:tc>
          <w:tcPr>
            <w:tcW w:w="3114" w:type="dxa"/>
          </w:tcPr>
          <w:p w14:paraId="425AFC6C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Дати проведення заходу</w:t>
            </w:r>
          </w:p>
        </w:tc>
        <w:tc>
          <w:tcPr>
            <w:tcW w:w="6520" w:type="dxa"/>
          </w:tcPr>
          <w:p w14:paraId="37929184" w14:textId="6B86B344" w:rsidR="00ED78BE" w:rsidRPr="009920F8" w:rsidRDefault="00E705CA">
            <w:pPr>
              <w:rPr>
                <w:rFonts w:ascii="Times New Roman" w:hAnsi="Times New Roman" w:cs="Times New Roman"/>
                <w:u w:val="single"/>
              </w:rPr>
            </w:pPr>
            <w:r w:rsidRPr="009920F8">
              <w:rPr>
                <w:rFonts w:ascii="Times New Roman" w:hAnsi="Times New Roman" w:cs="Times New Roman"/>
                <w:u w:val="single"/>
              </w:rPr>
              <w:t>19, 20 жовтня</w:t>
            </w:r>
            <w:r w:rsidR="008D7011" w:rsidRPr="009920F8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ED78BE" w:rsidRPr="009920F8" w14:paraId="705C8A14" w14:textId="77777777">
        <w:tc>
          <w:tcPr>
            <w:tcW w:w="3114" w:type="dxa"/>
          </w:tcPr>
          <w:p w14:paraId="52158A0D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Кількість навчальних годин</w:t>
            </w:r>
          </w:p>
        </w:tc>
        <w:tc>
          <w:tcPr>
            <w:tcW w:w="6520" w:type="dxa"/>
          </w:tcPr>
          <w:p w14:paraId="1F5DE666" w14:textId="4BA91EDD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1</w:t>
            </w:r>
            <w:r w:rsidR="00E705CA" w:rsidRPr="009920F8">
              <w:rPr>
                <w:rFonts w:ascii="Times New Roman" w:hAnsi="Times New Roman" w:cs="Times New Roman"/>
              </w:rPr>
              <w:t>0</w:t>
            </w:r>
            <w:r w:rsidRPr="009920F8">
              <w:rPr>
                <w:rFonts w:ascii="Times New Roman" w:hAnsi="Times New Roman" w:cs="Times New Roman"/>
              </w:rPr>
              <w:t xml:space="preserve"> академічних годин</w:t>
            </w:r>
          </w:p>
        </w:tc>
      </w:tr>
      <w:tr w:rsidR="00ED78BE" w:rsidRPr="009920F8" w14:paraId="4B968E9A" w14:textId="77777777">
        <w:tc>
          <w:tcPr>
            <w:tcW w:w="3114" w:type="dxa"/>
          </w:tcPr>
          <w:p w14:paraId="292A15DB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Місце проведення </w:t>
            </w:r>
          </w:p>
        </w:tc>
        <w:tc>
          <w:tcPr>
            <w:tcW w:w="6520" w:type="dxa"/>
          </w:tcPr>
          <w:p w14:paraId="56CE8379" w14:textId="16C59F95" w:rsidR="00ED78BE" w:rsidRPr="009920F8" w:rsidRDefault="00E705CA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ДУ «Хмельницький обласний центр контролю та профілактики </w:t>
            </w:r>
            <w:proofErr w:type="spellStart"/>
            <w:r w:rsidRPr="009920F8">
              <w:rPr>
                <w:rFonts w:ascii="Times New Roman" w:hAnsi="Times New Roman" w:cs="Times New Roman"/>
              </w:rPr>
              <w:t>хвороб</w:t>
            </w:r>
            <w:proofErr w:type="spellEnd"/>
            <w:r w:rsidRPr="009920F8">
              <w:rPr>
                <w:rFonts w:ascii="Times New Roman" w:hAnsi="Times New Roman" w:cs="Times New Roman"/>
              </w:rPr>
              <w:t xml:space="preserve"> Міністерства охорони здоров’я України», вул. Пилипчука, 55, м. Хмельницький, 29000</w:t>
            </w:r>
          </w:p>
        </w:tc>
      </w:tr>
      <w:tr w:rsidR="00ED78BE" w:rsidRPr="009920F8" w14:paraId="6C32F20A" w14:textId="77777777">
        <w:tc>
          <w:tcPr>
            <w:tcW w:w="3114" w:type="dxa"/>
            <w:vMerge w:val="restart"/>
          </w:tcPr>
          <w:p w14:paraId="69E97505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Цільова аудиторія</w:t>
            </w:r>
          </w:p>
        </w:tc>
        <w:tc>
          <w:tcPr>
            <w:tcW w:w="6520" w:type="dxa"/>
          </w:tcPr>
          <w:p w14:paraId="3C3B412B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Лікарська  спеціальність:</w:t>
            </w:r>
          </w:p>
          <w:p w14:paraId="483FEE3B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9920F8">
              <w:rPr>
                <w:rFonts w:ascii="Times New Roman" w:hAnsi="Times New Roman" w:cs="Times New Roman"/>
              </w:rPr>
              <w:t xml:space="preserve">загальна практика сімейна медицина (лікар загальної практики - сімейний лікар); </w:t>
            </w:r>
          </w:p>
          <w:p w14:paraId="57A31E94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педіатрія (лікар-педіатр);</w:t>
            </w:r>
          </w:p>
          <w:p w14:paraId="27D9091B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- дитяча імунологія (лікар-імунолог дитячий); </w:t>
            </w:r>
          </w:p>
          <w:p w14:paraId="4C3F1584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імунологія (лікар-імунолог);</w:t>
            </w:r>
          </w:p>
          <w:p w14:paraId="2B295873" w14:textId="77777777" w:rsidR="00ED78BE" w:rsidRPr="009920F8" w:rsidRDefault="008D7011">
            <w:pPr>
              <w:rPr>
                <w:rFonts w:ascii="Times New Roman" w:hAnsi="Times New Roman" w:cs="Times New Roman"/>
                <w:b/>
                <w:bCs/>
              </w:rPr>
            </w:pPr>
            <w:r w:rsidRPr="009920F8">
              <w:rPr>
                <w:rFonts w:ascii="Times New Roman" w:hAnsi="Times New Roman" w:cs="Times New Roman"/>
              </w:rPr>
              <w:t>- внутрішні хвороби (лікар-терапевт)</w:t>
            </w:r>
          </w:p>
        </w:tc>
      </w:tr>
      <w:tr w:rsidR="00ED78BE" w:rsidRPr="009920F8" w14:paraId="55AF82C6" w14:textId="77777777">
        <w:tc>
          <w:tcPr>
            <w:tcW w:w="3114" w:type="dxa"/>
            <w:vMerge/>
          </w:tcPr>
          <w:p w14:paraId="797C67A9" w14:textId="77777777" w:rsidR="00ED78BE" w:rsidRPr="009920F8" w:rsidRDefault="00ED7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34A1AC51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Спеціальності молодших спеціалістів з медичною освітою:</w:t>
            </w:r>
          </w:p>
          <w:p w14:paraId="395C64E3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9920F8">
              <w:rPr>
                <w:rFonts w:ascii="Times New Roman" w:hAnsi="Times New Roman" w:cs="Times New Roman"/>
              </w:rPr>
              <w:t xml:space="preserve">загальна практика сімейна медицина ( сестра медична (брат медичний); </w:t>
            </w:r>
          </w:p>
          <w:p w14:paraId="28971A8E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педіатрія (сестра медична (брат медичний) в педіатрії);</w:t>
            </w:r>
          </w:p>
          <w:p w14:paraId="47E27501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лікувальна справа (фельдшер).</w:t>
            </w:r>
          </w:p>
        </w:tc>
      </w:tr>
      <w:tr w:rsidR="00ED78BE" w:rsidRPr="009920F8" w14:paraId="52A9F5DF" w14:textId="77777777">
        <w:tc>
          <w:tcPr>
            <w:tcW w:w="3114" w:type="dxa"/>
          </w:tcPr>
          <w:p w14:paraId="4938D6D9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 Запланована кількість учасників</w:t>
            </w:r>
          </w:p>
        </w:tc>
        <w:tc>
          <w:tcPr>
            <w:tcW w:w="6520" w:type="dxa"/>
          </w:tcPr>
          <w:p w14:paraId="24971268" w14:textId="6C14023B" w:rsidR="00ED78BE" w:rsidRPr="009920F8" w:rsidRDefault="00E705CA">
            <w:pPr>
              <w:rPr>
                <w:rFonts w:ascii="Times New Roman" w:hAnsi="Times New Roman" w:cs="Times New Roman"/>
                <w:bCs/>
              </w:rPr>
            </w:pPr>
            <w:r w:rsidRPr="009920F8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ED78BE" w:rsidRPr="009920F8" w14:paraId="4BA8A991" w14:textId="77777777">
        <w:tc>
          <w:tcPr>
            <w:tcW w:w="3114" w:type="dxa"/>
          </w:tcPr>
          <w:p w14:paraId="5D4A60E6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 Мова проведення </w:t>
            </w:r>
          </w:p>
        </w:tc>
        <w:tc>
          <w:tcPr>
            <w:tcW w:w="6520" w:type="dxa"/>
          </w:tcPr>
          <w:p w14:paraId="09743F2F" w14:textId="77777777" w:rsidR="00ED78BE" w:rsidRPr="009920F8" w:rsidRDefault="008D7011">
            <w:pPr>
              <w:rPr>
                <w:rFonts w:ascii="Times New Roman" w:hAnsi="Times New Roman" w:cs="Times New Roman"/>
                <w:b/>
                <w:bCs/>
              </w:rPr>
            </w:pPr>
            <w:r w:rsidRPr="009920F8">
              <w:rPr>
                <w:rFonts w:ascii="Times New Roman" w:hAnsi="Times New Roman" w:cs="Times New Roman"/>
                <w:i/>
                <w:iCs/>
              </w:rPr>
              <w:t>Українська</w:t>
            </w:r>
          </w:p>
        </w:tc>
      </w:tr>
      <w:tr w:rsidR="00ED78BE" w:rsidRPr="009920F8" w14:paraId="32CB110D" w14:textId="77777777">
        <w:tc>
          <w:tcPr>
            <w:tcW w:w="3114" w:type="dxa"/>
          </w:tcPr>
          <w:p w14:paraId="207E020F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Програма проведення заходу </w:t>
            </w:r>
          </w:p>
        </w:tc>
        <w:tc>
          <w:tcPr>
            <w:tcW w:w="6520" w:type="dxa"/>
          </w:tcPr>
          <w:p w14:paraId="1D21BFE2" w14:textId="77777777" w:rsidR="00ED78BE" w:rsidRPr="009920F8" w:rsidRDefault="008D7011">
            <w:pPr>
              <w:rPr>
                <w:rFonts w:ascii="Times New Roman" w:hAnsi="Times New Roman" w:cs="Times New Roman"/>
                <w:i/>
                <w:iCs/>
              </w:rPr>
            </w:pPr>
            <w:r w:rsidRPr="009920F8">
              <w:rPr>
                <w:rFonts w:ascii="Times New Roman" w:hAnsi="Times New Roman" w:cs="Times New Roman"/>
                <w:i/>
                <w:iCs/>
              </w:rPr>
              <w:t>Додається</w:t>
            </w:r>
          </w:p>
        </w:tc>
      </w:tr>
      <w:tr w:rsidR="00ED78BE" w:rsidRPr="009920F8" w14:paraId="4E7AAF8B" w14:textId="77777777">
        <w:tc>
          <w:tcPr>
            <w:tcW w:w="3114" w:type="dxa"/>
          </w:tcPr>
          <w:p w14:paraId="3359F24B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 xml:space="preserve">Навчальна програма </w:t>
            </w:r>
          </w:p>
        </w:tc>
        <w:tc>
          <w:tcPr>
            <w:tcW w:w="6520" w:type="dxa"/>
          </w:tcPr>
          <w:p w14:paraId="1CB10788" w14:textId="77777777" w:rsidR="00ED78BE" w:rsidRPr="009920F8" w:rsidRDefault="008D7011">
            <w:pPr>
              <w:rPr>
                <w:rFonts w:ascii="Times New Roman" w:hAnsi="Times New Roman" w:cs="Times New Roman"/>
                <w:i/>
                <w:iCs/>
              </w:rPr>
            </w:pPr>
            <w:r w:rsidRPr="009920F8">
              <w:rPr>
                <w:rFonts w:ascii="Times New Roman" w:hAnsi="Times New Roman" w:cs="Times New Roman"/>
                <w:i/>
                <w:iCs/>
              </w:rPr>
              <w:t>Додається</w:t>
            </w:r>
          </w:p>
        </w:tc>
      </w:tr>
      <w:tr w:rsidR="00ED78BE" w:rsidRPr="009920F8" w14:paraId="3B6490AE" w14:textId="77777777">
        <w:tc>
          <w:tcPr>
            <w:tcW w:w="3114" w:type="dxa"/>
          </w:tcPr>
          <w:p w14:paraId="53AD37BE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Прізвище, ім’я, по батькові лекторів</w:t>
            </w:r>
          </w:p>
        </w:tc>
        <w:tc>
          <w:tcPr>
            <w:tcW w:w="6520" w:type="dxa"/>
          </w:tcPr>
          <w:p w14:paraId="3C0E6565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Козар Олена Володимирівна</w:t>
            </w:r>
          </w:p>
          <w:p w14:paraId="4B3A197C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proofErr w:type="spellStart"/>
            <w:r w:rsidRPr="009920F8">
              <w:rPr>
                <w:rFonts w:ascii="Times New Roman" w:hAnsi="Times New Roman" w:cs="Times New Roman"/>
              </w:rPr>
              <w:t>Оленкевич</w:t>
            </w:r>
            <w:proofErr w:type="spellEnd"/>
            <w:r w:rsidRPr="009920F8">
              <w:rPr>
                <w:rFonts w:ascii="Times New Roman" w:hAnsi="Times New Roman" w:cs="Times New Roman"/>
              </w:rPr>
              <w:t xml:space="preserve"> Світлана Павлівна</w:t>
            </w:r>
          </w:p>
          <w:p w14:paraId="1BA6A308" w14:textId="77777777" w:rsidR="00E705CA" w:rsidRPr="009920F8" w:rsidRDefault="00E705CA">
            <w:pPr>
              <w:rPr>
                <w:rFonts w:ascii="Times New Roman" w:hAnsi="Times New Roman" w:cs="Times New Roman"/>
              </w:rPr>
            </w:pPr>
            <w:proofErr w:type="spellStart"/>
            <w:r w:rsidRPr="009920F8">
              <w:rPr>
                <w:rFonts w:ascii="Times New Roman" w:hAnsi="Times New Roman" w:cs="Times New Roman"/>
              </w:rPr>
              <w:t>Пекарчук</w:t>
            </w:r>
            <w:proofErr w:type="spellEnd"/>
            <w:r w:rsidRPr="009920F8">
              <w:rPr>
                <w:rFonts w:ascii="Times New Roman" w:hAnsi="Times New Roman" w:cs="Times New Roman"/>
              </w:rPr>
              <w:t xml:space="preserve"> Катерина Валентинівна</w:t>
            </w:r>
          </w:p>
          <w:p w14:paraId="0F549854" w14:textId="2D17BC1F" w:rsidR="00E705CA" w:rsidRPr="009920F8" w:rsidRDefault="00E705CA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Ткачук Наталія Євгеніївна</w:t>
            </w:r>
          </w:p>
        </w:tc>
      </w:tr>
      <w:tr w:rsidR="00ED78BE" w:rsidRPr="009920F8" w14:paraId="17799D4E" w14:textId="77777777">
        <w:tc>
          <w:tcPr>
            <w:tcW w:w="3114" w:type="dxa"/>
          </w:tcPr>
          <w:p w14:paraId="1C0F259A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lastRenderedPageBreak/>
              <w:t xml:space="preserve"> Підтвердження акредитацію за кордоном чи в Україні EACCME/ACCME/RCPSC чи сертифікацію ERC/ILCOR/AHA (за необхідності)</w:t>
            </w:r>
          </w:p>
        </w:tc>
        <w:tc>
          <w:tcPr>
            <w:tcW w:w="6520" w:type="dxa"/>
          </w:tcPr>
          <w:p w14:paraId="0C2235E1" w14:textId="77777777" w:rsidR="00ED78BE" w:rsidRPr="009920F8" w:rsidRDefault="008D7011">
            <w:pPr>
              <w:rPr>
                <w:rFonts w:ascii="Times New Roman" w:hAnsi="Times New Roman" w:cs="Times New Roman"/>
                <w:b/>
                <w:bCs/>
              </w:rPr>
            </w:pPr>
            <w:r w:rsidRPr="009920F8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ED78BE" w:rsidRPr="009920F8" w14:paraId="7967B09D" w14:textId="77777777">
        <w:tc>
          <w:tcPr>
            <w:tcW w:w="3114" w:type="dxa"/>
          </w:tcPr>
          <w:p w14:paraId="2F948564" w14:textId="77777777" w:rsidR="00ED78BE" w:rsidRPr="009920F8" w:rsidRDefault="008D7011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 Використання спеціалізованого матеріально-технічного забезпечення (за наявності)</w:t>
            </w:r>
          </w:p>
        </w:tc>
        <w:tc>
          <w:tcPr>
            <w:tcW w:w="6520" w:type="dxa"/>
          </w:tcPr>
          <w:p w14:paraId="6FCE0ED0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сумка-холодильник (термоконтейнер) з двома комплектами холодових елементів (4 елементи в кожному комплекті) та термометром;</w:t>
            </w:r>
          </w:p>
          <w:p w14:paraId="4F1B3853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аптечка з набором лікарських засобів та медичними виробами для надання медичної допомоги при невідкладних станах;</w:t>
            </w:r>
          </w:p>
          <w:p w14:paraId="624C9E3E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ін’єкційний матеріал;</w:t>
            </w:r>
          </w:p>
          <w:p w14:paraId="305FA56A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коробка для безпечної утилізації шприців;</w:t>
            </w:r>
          </w:p>
          <w:p w14:paraId="605994C5" w14:textId="77777777" w:rsidR="00ED78BE" w:rsidRPr="009920F8" w:rsidRDefault="008D7011">
            <w:pPr>
              <w:rPr>
                <w:rFonts w:ascii="Times New Roman" w:hAnsi="Times New Roman" w:cs="Times New Roman"/>
              </w:rPr>
            </w:pPr>
            <w:r w:rsidRPr="009920F8">
              <w:rPr>
                <w:rFonts w:ascii="Times New Roman" w:hAnsi="Times New Roman" w:cs="Times New Roman"/>
              </w:rPr>
              <w:t>- антисептики для обробки шкіри рук;</w:t>
            </w:r>
          </w:p>
          <w:p w14:paraId="67AD2B6C" w14:textId="718C6BAB" w:rsidR="00ED78BE" w:rsidRPr="009920F8" w:rsidRDefault="008D7011">
            <w:pPr>
              <w:rPr>
                <w:rFonts w:ascii="Times New Roman" w:hAnsi="Times New Roman" w:cs="Times New Roman"/>
                <w:b/>
                <w:bCs/>
              </w:rPr>
            </w:pPr>
            <w:r w:rsidRPr="009920F8">
              <w:rPr>
                <w:rFonts w:ascii="Times New Roman" w:hAnsi="Times New Roman" w:cs="Times New Roman"/>
              </w:rPr>
              <w:t xml:space="preserve">- інформаційними матеріалами, плакатами з </w:t>
            </w:r>
            <w:proofErr w:type="spellStart"/>
            <w:r w:rsidRPr="009920F8">
              <w:rPr>
                <w:rFonts w:ascii="Times New Roman" w:hAnsi="Times New Roman" w:cs="Times New Roman"/>
              </w:rPr>
              <w:t>вакцинаційн</w:t>
            </w:r>
            <w:r w:rsidR="00075398">
              <w:rPr>
                <w:rFonts w:ascii="Times New Roman" w:hAnsi="Times New Roman" w:cs="Times New Roman"/>
              </w:rPr>
              <w:t>ими</w:t>
            </w:r>
            <w:proofErr w:type="spellEnd"/>
            <w:r w:rsidRPr="009920F8">
              <w:rPr>
                <w:rFonts w:ascii="Times New Roman" w:hAnsi="Times New Roman" w:cs="Times New Roman"/>
              </w:rPr>
              <w:t xml:space="preserve"> матеріал</w:t>
            </w:r>
            <w:r w:rsidR="00075398">
              <w:rPr>
                <w:rFonts w:ascii="Times New Roman" w:hAnsi="Times New Roman" w:cs="Times New Roman"/>
              </w:rPr>
              <w:t>ами</w:t>
            </w:r>
            <w:r w:rsidRPr="009920F8">
              <w:rPr>
                <w:rFonts w:ascii="Times New Roman" w:hAnsi="Times New Roman" w:cs="Times New Roman"/>
              </w:rPr>
              <w:t xml:space="preserve">, в тому числі </w:t>
            </w:r>
            <w:proofErr w:type="spellStart"/>
            <w:r w:rsidRPr="009920F8">
              <w:rPr>
                <w:rFonts w:ascii="Times New Roman" w:hAnsi="Times New Roman" w:cs="Times New Roman"/>
              </w:rPr>
              <w:t>візуалізаційними</w:t>
            </w:r>
            <w:proofErr w:type="spellEnd"/>
            <w:r w:rsidRPr="009920F8">
              <w:rPr>
                <w:rFonts w:ascii="Times New Roman" w:hAnsi="Times New Roman" w:cs="Times New Roman"/>
              </w:rPr>
              <w:t xml:space="preserve"> матеріалами надання екстреної медичної допомоги при невідкладних станах.</w:t>
            </w:r>
          </w:p>
        </w:tc>
      </w:tr>
    </w:tbl>
    <w:p w14:paraId="19EF63D5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0FD5B255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14271317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3A141347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2F344DEE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049E73B7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4DC9D533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5304D553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7B78BC26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61D6E654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0C4F0D58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4FBFA0DD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058B2B76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470EF3EE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23B0D5CB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5206888A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5FB0EE06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38924EB1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6DA01395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222E6849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2B65CB6F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7FAF9D75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08FE15B6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36D833D1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3F8C6294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5149AB2E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2987282F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1C44F418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0397C86F" w14:textId="77777777" w:rsidR="00E705CA" w:rsidRPr="009920F8" w:rsidRDefault="00E705CA">
      <w:pPr>
        <w:spacing w:after="0" w:line="240" w:lineRule="auto"/>
        <w:rPr>
          <w:rFonts w:ascii="Times New Roman" w:hAnsi="Times New Roman" w:cs="Times New Roman"/>
        </w:rPr>
      </w:pPr>
    </w:p>
    <w:p w14:paraId="21A8387E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4D8C0B38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10974E32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179F8864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5E402EF5" w14:textId="77777777" w:rsidR="00ED78BE" w:rsidRPr="009920F8" w:rsidRDefault="00ED78BE">
      <w:pPr>
        <w:spacing w:after="0" w:line="240" w:lineRule="auto"/>
        <w:rPr>
          <w:rFonts w:ascii="Times New Roman" w:hAnsi="Times New Roman" w:cs="Times New Roman"/>
        </w:rPr>
      </w:pPr>
    </w:p>
    <w:p w14:paraId="5F56438B" w14:textId="24F219D5" w:rsidR="00ED78BE" w:rsidRPr="009920F8" w:rsidRDefault="008D70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0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Програма одноденного </w:t>
      </w:r>
      <w:r w:rsidR="00E705CA" w:rsidRPr="009920F8">
        <w:rPr>
          <w:rFonts w:ascii="Times New Roman" w:hAnsi="Times New Roman" w:cs="Times New Roman"/>
          <w:b/>
          <w:sz w:val="28"/>
          <w:szCs w:val="28"/>
        </w:rPr>
        <w:t>майстер-класу</w:t>
      </w:r>
    </w:p>
    <w:p w14:paraId="0B6A23D6" w14:textId="77777777" w:rsidR="00ED78BE" w:rsidRPr="009920F8" w:rsidRDefault="008D70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0F8">
        <w:rPr>
          <w:rFonts w:ascii="Times New Roman" w:hAnsi="Times New Roman" w:cs="Times New Roman"/>
          <w:b/>
          <w:sz w:val="28"/>
          <w:szCs w:val="28"/>
        </w:rPr>
        <w:t>«Правила організації і техніки проведення щеплень відповідно до змін до Календаря профілактичних щеплень в Україні. Несприятливі події після імунізації та навички надання невідкладної допомоги»</w:t>
      </w:r>
    </w:p>
    <w:p w14:paraId="01ED7148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75"/>
        <w:gridCol w:w="7374"/>
      </w:tblGrid>
      <w:tr w:rsidR="00ED78BE" w:rsidRPr="009920F8" w14:paraId="097EC216" w14:textId="77777777">
        <w:tc>
          <w:tcPr>
            <w:tcW w:w="1975" w:type="dxa"/>
          </w:tcPr>
          <w:p w14:paraId="0D1F94E7" w14:textId="171502CF" w:rsidR="00ED78BE" w:rsidRPr="009920F8" w:rsidRDefault="00E705C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10:00-10:10</w:t>
            </w:r>
          </w:p>
        </w:tc>
        <w:tc>
          <w:tcPr>
            <w:tcW w:w="7374" w:type="dxa"/>
          </w:tcPr>
          <w:p w14:paraId="0FA008D0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Відкриття. Організаційні аспекти. Вітальне слово.</w:t>
            </w:r>
          </w:p>
        </w:tc>
      </w:tr>
      <w:tr w:rsidR="00ED78BE" w:rsidRPr="009920F8" w14:paraId="7A178495" w14:textId="77777777">
        <w:tc>
          <w:tcPr>
            <w:tcW w:w="1975" w:type="dxa"/>
          </w:tcPr>
          <w:p w14:paraId="5EE888DD" w14:textId="733D027D" w:rsidR="00ED78BE" w:rsidRPr="009920F8" w:rsidRDefault="007153E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10</w:t>
            </w:r>
            <w:r w:rsidR="008D7011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8D7011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0–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11</w:t>
            </w:r>
            <w:r w:rsidR="008D7011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30</w:t>
            </w:r>
          </w:p>
        </w:tc>
        <w:tc>
          <w:tcPr>
            <w:tcW w:w="7374" w:type="dxa"/>
          </w:tcPr>
          <w:p w14:paraId="19D777B1" w14:textId="7B8F92A1" w:rsidR="00ED78BE" w:rsidRPr="009920F8" w:rsidRDefault="007153E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Основні оновлення Календаря профілактичних щеплень</w:t>
            </w:r>
          </w:p>
        </w:tc>
      </w:tr>
      <w:tr w:rsidR="00ED78BE" w:rsidRPr="009920F8" w14:paraId="12353E78" w14:textId="77777777">
        <w:tc>
          <w:tcPr>
            <w:tcW w:w="1975" w:type="dxa"/>
          </w:tcPr>
          <w:p w14:paraId="7916C4A0" w14:textId="63121EBB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:30–1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2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45</w:t>
            </w:r>
          </w:p>
        </w:tc>
        <w:tc>
          <w:tcPr>
            <w:tcW w:w="7374" w:type="dxa"/>
          </w:tcPr>
          <w:p w14:paraId="79822E40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E4C77"/>
                <w:sz w:val="24"/>
                <w:szCs w:val="24"/>
                <w:lang w:val="uk-UA"/>
              </w:rPr>
              <w:t>Вакцина проти вірусу папіломи людини (ВПЛ): епідеміологічні відомості, вакцини, схеми застосування та ефективність, безпека вакцин, способи використання, протипоказання</w:t>
            </w:r>
          </w:p>
        </w:tc>
      </w:tr>
      <w:tr w:rsidR="007153ED" w:rsidRPr="009920F8" w14:paraId="30339C00" w14:textId="77777777">
        <w:tc>
          <w:tcPr>
            <w:tcW w:w="1975" w:type="dxa"/>
          </w:tcPr>
          <w:p w14:paraId="2911ADDE" w14:textId="0B000FB9" w:rsidR="007153ED" w:rsidRPr="009920F8" w:rsidRDefault="007153E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12:45-14:00</w:t>
            </w:r>
          </w:p>
        </w:tc>
        <w:tc>
          <w:tcPr>
            <w:tcW w:w="7374" w:type="dxa"/>
          </w:tcPr>
          <w:p w14:paraId="2647EBF3" w14:textId="7913D3CD" w:rsidR="007153ED" w:rsidRPr="009920F8" w:rsidRDefault="007153E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1E4C77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E4C77"/>
                <w:sz w:val="24"/>
                <w:szCs w:val="24"/>
                <w:lang w:val="uk-UA"/>
              </w:rPr>
              <w:t>Комунікація з батьками та опікунами щодо щеплень. Переконливі факти для проведення профілактичних щеплень.</w:t>
            </w:r>
          </w:p>
        </w:tc>
      </w:tr>
      <w:tr w:rsidR="00ED78BE" w:rsidRPr="009920F8" w14:paraId="0F69FC98" w14:textId="77777777">
        <w:tc>
          <w:tcPr>
            <w:tcW w:w="1975" w:type="dxa"/>
          </w:tcPr>
          <w:p w14:paraId="0E2644CF" w14:textId="17A0EA1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4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00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4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30</w:t>
            </w:r>
          </w:p>
        </w:tc>
        <w:tc>
          <w:tcPr>
            <w:tcW w:w="7374" w:type="dxa"/>
          </w:tcPr>
          <w:p w14:paraId="6D2A6B79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Перерва</w:t>
            </w:r>
          </w:p>
        </w:tc>
      </w:tr>
      <w:tr w:rsidR="00ED78BE" w:rsidRPr="009920F8" w14:paraId="57DED20B" w14:textId="77777777">
        <w:tc>
          <w:tcPr>
            <w:tcW w:w="1975" w:type="dxa"/>
          </w:tcPr>
          <w:p w14:paraId="6041CECF" w14:textId="7ED4FD55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E705CA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4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30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–1</w:t>
            </w:r>
            <w:r w:rsidR="00E705CA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E705CA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</w:p>
        </w:tc>
        <w:tc>
          <w:tcPr>
            <w:tcW w:w="7374" w:type="dxa"/>
          </w:tcPr>
          <w:p w14:paraId="57A7B530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Несприятливі події після імунізації: класифікація, особливості, звітність та подання карт-повідомлень в рамках здійснення </w:t>
            </w:r>
            <w:proofErr w:type="spellStart"/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фармаконагляду</w:t>
            </w:r>
            <w:proofErr w:type="spellEnd"/>
          </w:p>
        </w:tc>
      </w:tr>
      <w:tr w:rsidR="00ED78BE" w:rsidRPr="009920F8" w14:paraId="40D6AB0D" w14:textId="77777777">
        <w:tc>
          <w:tcPr>
            <w:tcW w:w="1975" w:type="dxa"/>
          </w:tcPr>
          <w:p w14:paraId="542A6D13" w14:textId="28A8D1EE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–1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:4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</w:p>
        </w:tc>
        <w:tc>
          <w:tcPr>
            <w:tcW w:w="7374" w:type="dxa"/>
          </w:tcPr>
          <w:p w14:paraId="7AA75687" w14:textId="77777777" w:rsidR="00ED78BE" w:rsidRPr="009920F8" w:rsidRDefault="008D7011">
            <w:pPr>
              <w:keepNext/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Діагностика невідкладних станів та перша допомога:</w:t>
            </w:r>
          </w:p>
          <w:p w14:paraId="00AF7714" w14:textId="77777777" w:rsidR="00ED78BE" w:rsidRPr="009920F8" w:rsidRDefault="008D7011">
            <w:pPr>
              <w:keepNext/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 реакції, пов’язані з відповіддю на стрес спричинений імунізацією – симптоми станів;</w:t>
            </w:r>
          </w:p>
          <w:p w14:paraId="6677DB75" w14:textId="77777777" w:rsidR="00ED78BE" w:rsidRPr="009920F8" w:rsidRDefault="008D7011">
            <w:pPr>
              <w:keepNext/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 симптоми анафілаксії;</w:t>
            </w:r>
          </w:p>
          <w:p w14:paraId="1F2B0341" w14:textId="77777777" w:rsidR="00ED78BE" w:rsidRPr="009920F8" w:rsidRDefault="008D7011">
            <w:pPr>
              <w:keepNext/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 диференціальна діагностика;</w:t>
            </w:r>
          </w:p>
          <w:p w14:paraId="50289B32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- склад аптечки для надання невідкладної допомоги.</w:t>
            </w:r>
          </w:p>
        </w:tc>
      </w:tr>
      <w:tr w:rsidR="00ED78BE" w:rsidRPr="009920F8" w14:paraId="30C33192" w14:textId="77777777">
        <w:tc>
          <w:tcPr>
            <w:tcW w:w="1975" w:type="dxa"/>
          </w:tcPr>
          <w:p w14:paraId="066CDC0E" w14:textId="49E4E1D9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:4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–1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6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460FC6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</w:p>
        </w:tc>
        <w:tc>
          <w:tcPr>
            <w:tcW w:w="7374" w:type="dxa"/>
          </w:tcPr>
          <w:p w14:paraId="1942BFC2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Ситуаційні задачі - діагностика невідкладних станів та перша допомога</w:t>
            </w:r>
          </w:p>
        </w:tc>
      </w:tr>
      <w:tr w:rsidR="00ED78BE" w:rsidRPr="009920F8" w14:paraId="01445995" w14:textId="77777777">
        <w:tc>
          <w:tcPr>
            <w:tcW w:w="1975" w:type="dxa"/>
          </w:tcPr>
          <w:p w14:paraId="67E3A955" w14:textId="2782E794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6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460FC6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–1</w:t>
            </w:r>
            <w:r w:rsidR="00460FC6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6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460FC6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45</w:t>
            </w:r>
          </w:p>
        </w:tc>
        <w:tc>
          <w:tcPr>
            <w:tcW w:w="7374" w:type="dxa"/>
          </w:tcPr>
          <w:p w14:paraId="23E41D4A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Реєстрація даних про проведені щеплення в медично-обліковій документації та ЕСОЗ</w:t>
            </w:r>
          </w:p>
        </w:tc>
      </w:tr>
      <w:tr w:rsidR="00ED78BE" w:rsidRPr="009920F8" w14:paraId="4E5C2813" w14:textId="77777777">
        <w:tc>
          <w:tcPr>
            <w:tcW w:w="1975" w:type="dxa"/>
          </w:tcPr>
          <w:p w14:paraId="080400A7" w14:textId="7F316358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6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4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5–1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7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20</w:t>
            </w:r>
          </w:p>
        </w:tc>
        <w:tc>
          <w:tcPr>
            <w:tcW w:w="7374" w:type="dxa"/>
          </w:tcPr>
          <w:p w14:paraId="1C99ABAF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Організація </w:t>
            </w:r>
            <w:proofErr w:type="spellStart"/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вакцинальної</w:t>
            </w:r>
            <w:proofErr w:type="spellEnd"/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 сесії</w:t>
            </w:r>
          </w:p>
        </w:tc>
      </w:tr>
      <w:tr w:rsidR="00ED78BE" w:rsidRPr="009920F8" w14:paraId="2397CBB1" w14:textId="77777777">
        <w:tc>
          <w:tcPr>
            <w:tcW w:w="1975" w:type="dxa"/>
          </w:tcPr>
          <w:p w14:paraId="407A3007" w14:textId="0E4AE880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7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20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–1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8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:</w:t>
            </w:r>
            <w:r w:rsidR="007153ED"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0</w:t>
            </w:r>
          </w:p>
        </w:tc>
        <w:tc>
          <w:tcPr>
            <w:tcW w:w="7374" w:type="dxa"/>
          </w:tcPr>
          <w:p w14:paraId="2A914F31" w14:textId="77777777" w:rsidR="00ED78BE" w:rsidRPr="009920F8" w:rsidRDefault="008D701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color w:val="4472C4"/>
                <w:sz w:val="24"/>
                <w:szCs w:val="24"/>
                <w:lang w:val="uk-UA"/>
              </w:rPr>
            </w:pPr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Фінальне тестування, форма </w:t>
            </w:r>
            <w:proofErr w:type="spellStart"/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>зворотнього</w:t>
            </w:r>
            <w:proofErr w:type="spellEnd"/>
            <w:r w:rsidRPr="009920F8">
              <w:rPr>
                <w:rFonts w:ascii="Times New Roman" w:hAnsi="Times New Roman"/>
                <w:color w:val="1F4E79"/>
                <w:sz w:val="24"/>
                <w:szCs w:val="24"/>
                <w:lang w:val="uk-UA"/>
              </w:rPr>
              <w:t xml:space="preserve"> зв’язку та підбиття підсумків</w:t>
            </w:r>
          </w:p>
        </w:tc>
      </w:tr>
    </w:tbl>
    <w:p w14:paraId="116E0452" w14:textId="77777777" w:rsidR="00ED78BE" w:rsidRPr="009920F8" w:rsidRDefault="00ED7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D78BE" w:rsidRPr="009920F8">
      <w:footerReference w:type="default" r:id="rId9"/>
      <w:pgSz w:w="11910" w:h="16840"/>
      <w:pgMar w:top="567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93FF" w14:textId="77777777" w:rsidR="006E6169" w:rsidRDefault="006E6169">
      <w:pPr>
        <w:spacing w:after="0" w:line="240" w:lineRule="auto"/>
      </w:pPr>
      <w:r>
        <w:separator/>
      </w:r>
    </w:p>
  </w:endnote>
  <w:endnote w:type="continuationSeparator" w:id="0">
    <w:p w14:paraId="456BB968" w14:textId="77777777" w:rsidR="006E6169" w:rsidRDefault="006E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68E9B" w14:textId="77777777" w:rsidR="00ED78BE" w:rsidRDefault="008D701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8D9734D" w14:textId="77777777" w:rsidR="00ED78BE" w:rsidRDefault="00ED78BE">
    <w:pPr>
      <w:pStyle w:val="a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66A6" w14:textId="77777777" w:rsidR="006E6169" w:rsidRDefault="006E6169">
      <w:pPr>
        <w:spacing w:after="0" w:line="240" w:lineRule="auto"/>
      </w:pPr>
      <w:r>
        <w:separator/>
      </w:r>
    </w:p>
  </w:footnote>
  <w:footnote w:type="continuationSeparator" w:id="0">
    <w:p w14:paraId="796155FB" w14:textId="77777777" w:rsidR="006E6169" w:rsidRDefault="006E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27AA"/>
    <w:multiLevelType w:val="hybridMultilevel"/>
    <w:tmpl w:val="FFFFFFFF"/>
    <w:lvl w:ilvl="0" w:tplc="3ACAC1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44829">
    <w:abstractNumId w:val="1"/>
  </w:num>
  <w:num w:numId="2" w16cid:durableId="9910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8BE"/>
    <w:rsid w:val="00075398"/>
    <w:rsid w:val="00084582"/>
    <w:rsid w:val="00460FC6"/>
    <w:rsid w:val="005D796A"/>
    <w:rsid w:val="00645B3E"/>
    <w:rsid w:val="006E6169"/>
    <w:rsid w:val="007153ED"/>
    <w:rsid w:val="008D7011"/>
    <w:rsid w:val="009920F8"/>
    <w:rsid w:val="00AD7AD3"/>
    <w:rsid w:val="00C21DF1"/>
    <w:rsid w:val="00C8054E"/>
    <w:rsid w:val="00E705CA"/>
    <w:rsid w:val="00ED78BE"/>
    <w:rsid w:val="00FC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AF9F"/>
  <w15:docId w15:val="{465304B8-E9D5-45C3-B2FE-BD4AE996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Calibri Light" w:eastAsia="SimSu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SimSu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SimSu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="SimSu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libri Light" w:eastAsia="SimSun" w:hAnsi="Calibri Light" w:cs="SimSun"/>
      <w:color w:val="2F5496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Calibri Light" w:eastAsia="SimSun" w:hAnsi="Calibri Light" w:cs="SimSu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eastAsia="SimSun" w:cs="SimSun"/>
      <w:color w:val="2F5496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eastAsia="SimSun" w:cs="SimSu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Pr>
      <w:rFonts w:eastAsia="SimSun" w:cs="SimSun"/>
      <w:color w:val="2F5496"/>
    </w:rPr>
  </w:style>
  <w:style w:type="character" w:customStyle="1" w:styleId="60">
    <w:name w:val="Заголовок 6 Знак"/>
    <w:basedOn w:val="a0"/>
    <w:link w:val="6"/>
    <w:uiPriority w:val="9"/>
    <w:rPr>
      <w:rFonts w:eastAsia="SimSun" w:cs="SimSun"/>
      <w:i/>
      <w:iCs/>
      <w:color w:val="595959"/>
    </w:rPr>
  </w:style>
  <w:style w:type="character" w:customStyle="1" w:styleId="70">
    <w:name w:val="Заголовок 7 Знак"/>
    <w:basedOn w:val="a0"/>
    <w:link w:val="7"/>
    <w:uiPriority w:val="9"/>
    <w:rPr>
      <w:rFonts w:eastAsia="SimSun" w:cs="SimSun"/>
      <w:color w:val="595959"/>
    </w:rPr>
  </w:style>
  <w:style w:type="character" w:customStyle="1" w:styleId="80">
    <w:name w:val="Заголовок 8 Знак"/>
    <w:basedOn w:val="a0"/>
    <w:link w:val="8"/>
    <w:uiPriority w:val="9"/>
    <w:rPr>
      <w:rFonts w:eastAsia="SimSun" w:cs="SimSun"/>
      <w:i/>
      <w:iCs/>
      <w:color w:val="272727"/>
    </w:rPr>
  </w:style>
  <w:style w:type="character" w:customStyle="1" w:styleId="90">
    <w:name w:val="Заголовок 9 Знак"/>
    <w:basedOn w:val="a0"/>
    <w:link w:val="9"/>
    <w:uiPriority w:val="9"/>
    <w:rPr>
      <w:rFonts w:eastAsia="SimSun" w:cs="SimSun"/>
      <w:color w:val="272727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Calibri Light" w:eastAsia="SimSun" w:hAnsi="Calibri Light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Pr>
      <w:rFonts w:ascii="Calibri Light" w:eastAsia="SimSun" w:hAnsi="Calibri Light" w:cs="SimSu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="SimSun"/>
      <w:color w:val="595959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a8">
    <w:name w:val="Цитата Знак"/>
    <w:basedOn w:val="a0"/>
    <w:link w:val="a7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2F5496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c">
    <w:name w:val="Насичена цитата Знак"/>
    <w:basedOn w:val="a0"/>
    <w:link w:val="ab"/>
    <w:uiPriority w:val="30"/>
    <w:rPr>
      <w:i/>
      <w:iCs/>
      <w:color w:val="2F5496"/>
    </w:rPr>
  </w:style>
  <w:style w:type="character" w:styleId="ad">
    <w:name w:val="Intense Reference"/>
    <w:basedOn w:val="a0"/>
    <w:uiPriority w:val="32"/>
    <w:qFormat/>
    <w:rPr>
      <w:b/>
      <w:bCs/>
      <w:smallCaps/>
      <w:color w:val="2F5496"/>
      <w:spacing w:val="5"/>
    </w:rPr>
  </w:style>
  <w:style w:type="paragraph" w:styleId="ae">
    <w:name w:val="Body Text"/>
    <w:basedOn w:val="a"/>
    <w:link w:val="af"/>
    <w:uiPriority w:val="99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</w:style>
  <w:style w:type="paragraph" w:styleId="af0">
    <w:name w:val="footer"/>
    <w:basedOn w:val="a"/>
    <w:link w:val="af1"/>
    <w:uiPriority w:val="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f2"/>
    <w:uiPriority w:val="39"/>
    <w:pPr>
      <w:spacing w:after="0" w:line="240" w:lineRule="auto"/>
    </w:pPr>
    <w:rPr>
      <w:rFonts w:eastAsia="Times New Roman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8T15:00:34.453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08T15:00:34.45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5524</Words>
  <Characters>3150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Svitlana</dc:creator>
  <cp:lastModifiedBy>Svitlana</cp:lastModifiedBy>
  <cp:revision>4</cp:revision>
  <dcterms:created xsi:type="dcterms:W3CDTF">2026-09-10T09:02:00Z</dcterms:created>
  <dcterms:modified xsi:type="dcterms:W3CDTF">2026-09-11T06:54:00Z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ae2848d90dca4c778847ea2f90d3ae0a</vt:lpwstr>
  </property>
</Properties>
</file>