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ink/ink1.xml" ContentType="application/inkml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ink/ink2.xml" ContentType="application/inkml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0" w:lineRule="auto" w:line="240"/>
        <w:jc w:val="center"/>
        <w:rPr>
          <w:rFonts w:ascii="Times New Roman" w:cs="Times New Roman" w:hAnsi="Times New Roman"/>
          <w:b/>
          <w:bCs/>
        </w:rPr>
      </w:pPr>
    </w:p>
    <w:p>
      <w:pPr>
        <w:pStyle w:val="style0"/>
        <w:spacing w:after="0" w:lineRule="auto" w:line="240"/>
        <w:jc w:val="center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НАВЧАЛЬНА ПРОГРАМА</w:t>
      </w:r>
    </w:p>
    <w:p>
      <w:pPr>
        <w:pStyle w:val="style0"/>
        <w:spacing w:after="0" w:lineRule="auto" w:line="240"/>
        <w:jc w:val="center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БПР МЕДИЧНИХ ТА ФАРМАЦЕВТИЧНИХ ПРАЦІВНИКІВ</w:t>
      </w:r>
    </w:p>
    <w:p>
      <w:pPr>
        <w:pStyle w:val="style0"/>
        <w:spacing w:after="0" w:lineRule="auto" w:line="240"/>
        <w:jc w:val="center"/>
        <w:rPr>
          <w:rFonts w:ascii="Times New Roman" w:cs="Times New Roman" w:hAnsi="Times New Roman"/>
          <w:b/>
          <w:bCs/>
        </w:rPr>
      </w:pPr>
    </w:p>
    <w:tbl>
      <w:tblPr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0"/>
        <w:gridCol w:w="6379"/>
      </w:tblGrid>
      <w:tr>
        <w:trPr/>
        <w:tc>
          <w:tcPr>
            <w:tcW w:w="283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0" w:lineRule="auto" w:line="240"/>
              <w:rPr>
                <w:rFonts w:ascii="Times New Roman" w:cs="Times New Roman" w:hAnsi="Times New Roman"/>
                <w:b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Тема заходу</w:t>
            </w:r>
          </w:p>
        </w:tc>
        <w:tc>
          <w:tcPr>
            <w:tcW w:w="6379" w:type="dxa"/>
            <w:tcBorders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hAnsi="Times New Roman"/>
                <w:color w:val="000000"/>
              </w:rPr>
              <w:t>Правила організації і техніки проведення щеплень відповідно до оновленого Календаря профілактичних щеплень в Україні. Несприятливі події після імунізації та навички надання невідкладної допомоги</w:t>
            </w:r>
          </w:p>
        </w:tc>
      </w:tr>
      <w:tr>
        <w:tblPrEx/>
        <w:trPr/>
        <w:tc>
          <w:tcPr>
            <w:tcW w:w="283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0" w:lineRule="auto" w:line="240"/>
              <w:rPr>
                <w:rFonts w:ascii="Times New Roman" w:cs="Times New Roman" w:hAnsi="Times New Roman"/>
                <w:b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Вид заходу</w:t>
            </w:r>
          </w:p>
        </w:tc>
        <w:tc>
          <w:tcPr>
            <w:tcW w:w="6379" w:type="dxa"/>
            <w:tcBorders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  <w:lang w:val="uk-UA"/>
              </w:rPr>
              <w:t xml:space="preserve">Тренінг </w:t>
            </w:r>
          </w:p>
        </w:tc>
      </w:tr>
      <w:tr>
        <w:tblPrEx/>
        <w:trPr>
          <w:trHeight w:val="1920" w:hRule="atLeast"/>
        </w:trPr>
        <w:tc>
          <w:tcPr>
            <w:tcW w:w="283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0" w:lineRule="auto" w:line="240"/>
              <w:rPr>
                <w:rFonts w:ascii="Times New Roman" w:cs="Times New Roman" w:hAnsi="Times New Roman"/>
                <w:b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 xml:space="preserve">Цільова аудиторія </w:t>
            </w:r>
          </w:p>
        </w:tc>
        <w:tc>
          <w:tcPr>
            <w:tcW w:w="6379" w:type="dxa"/>
            <w:tcBorders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Захід розрахований на фахівців: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</w:rPr>
            </w:pPr>
          </w:p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Лікарських спеціальностей: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  <w:color w:val="000000"/>
              </w:rPr>
              <w:t>-</w:t>
            </w:r>
            <w:r>
              <w:rPr>
                <w:rFonts w:ascii="Times New Roman" w:cs="Times New Roman" w:hAnsi="Times New Roman"/>
              </w:rPr>
              <w:t xml:space="preserve"> загальна практика сімейна медицина (лікар загальної практики - сімейний лікар); 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- педіатрія (лікар-педіатр);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- дитяча імунологія (лікар-імунолог дитячий); 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- імунологія (лікар-імунолог);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</w:rPr>
              <w:t>- внутрішні хвороби (лікар-терапевт).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</w:rPr>
            </w:pPr>
          </w:p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Спеціальності молодших спеціалістів з медичною освітою: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  <w:color w:val="000000"/>
              </w:rPr>
              <w:t xml:space="preserve">- </w:t>
            </w:r>
            <w:r>
              <w:rPr>
                <w:rFonts w:ascii="Times New Roman" w:cs="Times New Roman" w:hAnsi="Times New Roman"/>
              </w:rPr>
              <w:t xml:space="preserve">загальна практика сімейна медицина ( сестра медична (брат медичний); 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- педіатрія (сестра медична (брат медичний) в педіатрії);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</w:rPr>
              <w:t>- лікувальна справа (фельдшер).</w:t>
            </w:r>
          </w:p>
        </w:tc>
      </w:tr>
      <w:tr>
        <w:tblPrEx/>
        <w:trPr/>
        <w:tc>
          <w:tcPr>
            <w:tcW w:w="283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0" w:lineRule="auto" w:line="24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Мета заходу</w:t>
            </w:r>
          </w:p>
        </w:tc>
        <w:tc>
          <w:tcPr>
            <w:tcW w:w="6379" w:type="dxa"/>
            <w:tcBorders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Метою заходу є підвищення професійної компетентності медичних фахівців шляхом проведення майстер-класу, присвяченого: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- організації та техніці проведення профілактичних щеплень відповідно до оновленого Календаря щеплень України;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- огляду щодо вакцинації проти вірусу папіломи людини;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- своєчасному розпізнаванню, реєстрації та реагуванню на несприятливі події після імунізації;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- відпрацюванню практичних навичок надання невідкладної медичної допомоги при ускладненнях, що можуть виникати під час чи після вакцинації.</w:t>
            </w:r>
          </w:p>
        </w:tc>
      </w:tr>
      <w:tr>
        <w:tblPrEx/>
        <w:trPr/>
        <w:tc>
          <w:tcPr>
            <w:tcW w:w="283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0" w:lineRule="auto" w:line="24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 xml:space="preserve">Перелік </w:t>
            </w:r>
            <w:r>
              <w:rPr>
                <w:rFonts w:ascii="Times New Roman" w:cs="Times New Roman" w:hAnsi="Times New Roman"/>
                <w:color w:val="000000"/>
              </w:rPr>
              <w:t>компетентностей</w:t>
            </w:r>
            <w:r>
              <w:rPr>
                <w:rFonts w:ascii="Times New Roman" w:cs="Times New Roman" w:hAnsi="Times New Roman"/>
                <w:color w:val="000000"/>
              </w:rPr>
              <w:t xml:space="preserve">, що набуваються або вдосконалюються (результати навчання) </w:t>
            </w:r>
          </w:p>
        </w:tc>
        <w:tc>
          <w:tcPr>
            <w:tcW w:w="6379" w:type="dxa"/>
            <w:tcBorders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I. Організаційні компетентності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1) Планування та організація процесу вакцинації на рівні закладу охорони здоров’я. 2) Дотримання вимог інфекційного контролю та правил безпеки при роботі з вакцинами. 3) Правильне ведення медичної документації, у т.</w:t>
            </w:r>
            <w:r>
              <w:rPr>
                <w:rFonts w:ascii="Times New Roman" w:cs="Times New Roman" w:hAnsi="Times New Roman"/>
              </w:rPr>
              <w:t xml:space="preserve"> </w:t>
            </w:r>
            <w:r>
              <w:rPr>
                <w:rFonts w:ascii="Times New Roman" w:cs="Times New Roman" w:hAnsi="Times New Roman"/>
              </w:rPr>
              <w:t>ч. внесення даних до електронних систем (</w:t>
            </w:r>
            <w:r>
              <w:rPr>
                <w:rFonts w:ascii="Times New Roman" w:cs="Times New Roman" w:hAnsi="Times New Roman"/>
              </w:rPr>
              <w:t>eHealth</w:t>
            </w:r>
            <w:r>
              <w:rPr>
                <w:rFonts w:ascii="Times New Roman" w:cs="Times New Roman" w:hAnsi="Times New Roman"/>
              </w:rPr>
              <w:t>).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</w:rPr>
            </w:pPr>
          </w:p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II. Технічні та практичні навички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1) Дотримання стандартів зберігання, підготовки та введення вакцин відповідно до інструкцій.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2) Володіння сучасними техніками проведення щеплень у дітей та дорослих.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3) Використання алгоритмів визначення мінімальних інтервалів та схем вакцинації за оновленим Календарем профілактичних щеплень.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</w:rPr>
            </w:pPr>
          </w:p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III. Клінічні компетентності</w:t>
            </w:r>
            <w:r>
              <w:rPr>
                <w:rFonts w:ascii="Times New Roman" w:cs="Times New Roman" w:hAnsi="Times New Roman"/>
              </w:rPr>
              <w:t xml:space="preserve"> 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1) Розпізнавання, класифікація та належне реагування на несприятливі події після імунізації (НППІ).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2) Надання першої невідкладної допомоги при розвитку алергічних реакцій, анафілаксії та інших ускладнень.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3) Використання стандартних протоколів дій у випадку надзвичайних ситуацій під час вакцинації.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</w:rPr>
            </w:pPr>
          </w:p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IV. Комунікаційні та поведінкові навички 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1)Проведення ефективної комунікації з пацієнтами та їх законними представниками щодо переваг вакцинації, можливих реакцій та правил подальшого спостереження.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2)Використання навичок міждисциплінарної взаємодії та командної роботи у сфері імунопрофілактики.</w:t>
            </w:r>
            <w:r>
              <w:rPr>
                <w:rFonts w:ascii="Times New Roman" w:cs="Times New Roman" w:hAnsi="Times New Roman"/>
                <w:noProof/>
                <w:lang w:val="en-US"/>
              </w:rPr>
              <mc:AlternateContent>
                <mc:Choice Requires="wps">
                  <w:drawing>
                    <wp:anchor distT="0" distB="0" distL="0" distR="0" simplePos="false" relativeHeight="3" behindDoc="false" locked="false" layoutInCell="true" allowOverlap="true">
                      <wp:simplePos x="0" y="0"/>
                      <wp:positionH relativeFrom="column">
                        <wp:posOffset>1187360</wp:posOffset>
                      </wp:positionH>
                      <wp:positionV relativeFrom="paragraph">
                        <wp:posOffset>1276875</wp:posOffset>
                      </wp:positionV>
                      <wp:extent cx="358" cy="358"/>
                      <wp:effectExtent l="57150" t="38100" r="38100" b="57150"/>
                      <wp:wrapNone/>
                      <wp:docPr id="1026" name="Рукописні дані 2"/>
                      <wp:cNvGraphicFramePr>
                        <a:graphicFrameLocks xmlns:a="http://schemas.openxmlformats.org/drawingml/2006/main" noChangeAspect="false" noSelect="false" noResize="false" noGrp="false"/>
                      </wp:cNvGraphicFramePr>
                      <a:graphic xmlns:a="http://schemas.openxmlformats.org/drawingml/2006/main">
                        <a:graphicData uri="http://schemas.microsoft.com/office/word/2010/wordprocessingInk">
                          <w14:contentPart bwMode="auto" r:id="rId2">
                            <w14:xfrm rot="0">
                              <a:off x="0" y="0"/>
                              <a:ext cx="358" cy="358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1026" filled="f" stroked="f" style="position:absolute;margin-left:93.49pt;margin-top:100.54pt;width:0.03pt;height:0.03pt;z-index:3;mso-position-horizontal-relative:text;mso-position-vertical-relative:text;mso-width-relative:page;mso-height-relative:page;mso-wrap-distance-left:0.0pt;mso-wrap-distance-right:0.0pt;visibility:visible;">
                      <v:fill/>
                      <o:ink i="AC8dBOQCmAQCDw5IEUSEp+IERWRG2ARQABUAAIA/AACAPwAAAAAAAAAACgUCgwCDAA==&#10;"/>
                    </v:shape>
                  </w:pict>
                </mc:Fallback>
              </mc:AlternateContent>
            </w:r>
            <w:r>
              <w:rPr>
                <w:rFonts w:ascii="Times New Roman" w:cs="Times New Roman" w:hAnsi="Times New Roman"/>
                <w:noProof/>
                <w:lang w:val="en-US"/>
              </w:rPr>
              <mc:AlternateContent>
                <mc:Choice Requires="wps">
                  <w:drawing>
                    <wp:anchor distT="0" distB="0" distL="0" distR="0" simplePos="false" relativeHeight="2" behindDoc="false" locked="false" layoutInCell="true" allowOverlap="true">
                      <wp:simplePos x="0" y="0"/>
                      <wp:positionH relativeFrom="column">
                        <wp:posOffset>1479320</wp:posOffset>
                      </wp:positionH>
                      <wp:positionV relativeFrom="paragraph">
                        <wp:posOffset>1708874</wp:posOffset>
                      </wp:positionV>
                      <wp:extent cx="358" cy="360"/>
                      <wp:effectExtent l="57150" t="38100" r="38100" b="57150"/>
                      <wp:wrapNone/>
                      <wp:docPr id="1027" name="Рукописні дані 1"/>
                      <wp:cNvGraphicFramePr>
                        <a:graphicFrameLocks xmlns:a="http://schemas.openxmlformats.org/drawingml/2006/main" noChangeAspect="false" noSelect="false" noResize="false" noGrp="false"/>
                      </wp:cNvGraphicFramePr>
                      <a:graphic xmlns:a="http://schemas.openxmlformats.org/drawingml/2006/main">
                        <a:graphicData uri="http://schemas.microsoft.com/office/word/2010/wordprocessingInk">
                          <w14:contentPart bwMode="auto" r:id="rId3">
                            <w14:xfrm rot="0">
                              <a:off x="0" y="0"/>
                              <a:ext cx="358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1027" filled="f" stroked="f" style="position:absolute;margin-left:116.48pt;margin-top:134.56pt;width:0.03pt;height:0.03pt;z-index:2;mso-position-horizontal-relative:text;mso-position-vertical-relative:text;mso-width-relative:page;mso-height-relative:page;mso-wrap-distance-left:0.0pt;mso-wrap-distance-right:0.0pt;visibility:visible;">
                      <v:fill/>
                      <o:ink i="AC8dBOQCmAQCDw5IEUSEp+IERWRG2ARQABUAAIA/AACAPwAAAAAAAAAACgUCgwCDAA==&#10;"/>
                    </v:shape>
                  </w:pict>
                </mc:Fallback>
              </mc:AlternateContent>
            </w:r>
          </w:p>
        </w:tc>
      </w:tr>
      <w:tr>
        <w:tblPrEx/>
        <w:trPr/>
        <w:tc>
          <w:tcPr>
            <w:tcW w:w="283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0" w:lineRule="auto" w:line="24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 xml:space="preserve">Опис структури заходу </w:t>
            </w:r>
          </w:p>
        </w:tc>
        <w:tc>
          <w:tcPr>
            <w:tcW w:w="6379" w:type="dxa"/>
            <w:tcBorders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Відкриття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</w:rPr>
            </w:pPr>
          </w:p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Лекція 1. Національні стратегії та огляд плану впровадження змін до Календаря профілактичних щеплень затвердженого Наказом МОЗ України від 5 березня 2025 року №396 - ключові програмні напрямки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</w:rPr>
            </w:pPr>
          </w:p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Обговорення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</w:rPr>
            </w:pPr>
          </w:p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Лекція 2. Основні оновлення Календаря профілактичних щеплень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</w:rPr>
            </w:pPr>
          </w:p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Лекція 3. Вакцина проти вірусу папіломи людини (ВПЛ): епідеміологічні відомості, вакцини, схеми застосування та ефективність, вимоги при зберіганні/транспортуванні, способи використання, протипоказання та безпека вакцин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</w:rPr>
            </w:pPr>
          </w:p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Лекція 4. Комунікація з батьками та опікунами щодо щеплень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</w:rPr>
            </w:pPr>
          </w:p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Лекція 5.</w:t>
            </w:r>
            <w:r>
              <w:rPr>
                <w:rFonts w:ascii="Times New Roman" w:cs="Times New Roman" w:hAnsi="Times New Roman"/>
              </w:rPr>
              <w:t xml:space="preserve"> </w:t>
            </w:r>
            <w:r>
              <w:rPr>
                <w:rFonts w:ascii="Times New Roman" w:cs="Times New Roman" w:hAnsi="Times New Roman"/>
                <w:color w:val="000000"/>
              </w:rPr>
              <w:t xml:space="preserve">Несприятливі події після імунізації: класифікація, особливості, звітність та подання карт-повідомлень в рамках здійснення </w:t>
            </w:r>
            <w:r>
              <w:rPr>
                <w:rFonts w:ascii="Times New Roman" w:cs="Times New Roman" w:hAnsi="Times New Roman"/>
                <w:color w:val="000000"/>
              </w:rPr>
              <w:t>фармаконагляду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</w:rPr>
            </w:pPr>
          </w:p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Лекція 6. Діагностика невідкладних станів та перша допомога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</w:rPr>
            </w:pPr>
          </w:p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Практична вправа 1. Діагностика невідкладних станів та перша допомога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</w:rPr>
            </w:pPr>
          </w:p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Лекція 7. Реєстрація даних про проведені щеплення в медично-обліковій документації та ЕСОЗ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</w:rPr>
            </w:pPr>
          </w:p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 xml:space="preserve">Практична вправа 2. Організація </w:t>
            </w:r>
            <w:r>
              <w:rPr>
                <w:rFonts w:ascii="Times New Roman" w:cs="Times New Roman" w:hAnsi="Times New Roman"/>
                <w:color w:val="000000"/>
              </w:rPr>
              <w:t>вакцинальної</w:t>
            </w:r>
            <w:r>
              <w:rPr>
                <w:rFonts w:ascii="Times New Roman" w:cs="Times New Roman" w:hAnsi="Times New Roman"/>
                <w:color w:val="000000"/>
              </w:rPr>
              <w:t xml:space="preserve"> сесії 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</w:rPr>
            </w:pPr>
          </w:p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 xml:space="preserve">Фінальне тестування, форма </w:t>
            </w:r>
            <w:r>
              <w:rPr>
                <w:rFonts w:ascii="Times New Roman" w:cs="Times New Roman" w:hAnsi="Times New Roman"/>
                <w:color w:val="000000"/>
              </w:rPr>
              <w:t>зворотнього</w:t>
            </w:r>
            <w:r>
              <w:rPr>
                <w:rFonts w:ascii="Times New Roman" w:cs="Times New Roman" w:hAnsi="Times New Roman"/>
                <w:color w:val="000000"/>
              </w:rPr>
              <w:t xml:space="preserve"> зв’язку та підбиття підсумків</w:t>
            </w:r>
          </w:p>
        </w:tc>
      </w:tr>
      <w:tr>
        <w:tblPrEx/>
        <w:trPr/>
        <w:tc>
          <w:tcPr>
            <w:tcW w:w="283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0" w:lineRule="auto" w:line="24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Загальний обсяг навчального навантаження</w:t>
            </w:r>
          </w:p>
        </w:tc>
        <w:tc>
          <w:tcPr>
            <w:tcW w:w="6379" w:type="dxa"/>
            <w:tcBorders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11 академічних годин </w:t>
            </w:r>
          </w:p>
        </w:tc>
      </w:tr>
      <w:tr>
        <w:tblPrEx/>
        <w:trPr/>
        <w:tc>
          <w:tcPr>
            <w:tcW w:w="283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0" w:lineRule="auto" w:line="24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Форми організації та проведення заходу</w:t>
            </w:r>
          </w:p>
        </w:tc>
        <w:tc>
          <w:tcPr>
            <w:tcW w:w="6379" w:type="dxa"/>
            <w:tcBorders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Л</w:t>
            </w:r>
            <w:r>
              <w:rPr>
                <w:rFonts w:ascii="Times New Roman" w:cs="Times New Roman" w:hAnsi="Times New Roman"/>
              </w:rPr>
              <w:t>екція, робота в групах, симуляції, дискусії тощо</w:t>
            </w:r>
          </w:p>
        </w:tc>
      </w:tr>
      <w:tr>
        <w:tblPrEx/>
        <w:trPr/>
        <w:tc>
          <w:tcPr>
            <w:tcW w:w="283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0" w:lineRule="auto" w:line="24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Методи організації проведення заходу</w:t>
            </w:r>
          </w:p>
        </w:tc>
        <w:tc>
          <w:tcPr>
            <w:tcW w:w="6379" w:type="dxa"/>
            <w:tcBorders/>
          </w:tcPr>
          <w:p>
            <w:pPr>
              <w:pStyle w:val="style0"/>
              <w:tabs>
                <w:tab w:val="left" w:leader="none" w:pos="552"/>
              </w:tabs>
              <w:spacing w:after="0" w:lineRule="auto" w:line="24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Опанування лекційного матеріалу,</w:t>
            </w:r>
            <w:r>
              <w:rPr>
                <w:rFonts w:ascii="Times New Roman" w:cs="Times New Roman" w:hAnsi="Times New Roman"/>
              </w:rPr>
              <w:t xml:space="preserve"> </w:t>
            </w:r>
            <w:r>
              <w:rPr>
                <w:rFonts w:ascii="Times New Roman" w:cs="Times New Roman" w:hAnsi="Times New Roman"/>
              </w:rPr>
              <w:t>тренувальний тощо</w:t>
            </w:r>
          </w:p>
        </w:tc>
      </w:tr>
      <w:tr>
        <w:tblPrEx/>
        <w:trPr/>
        <w:tc>
          <w:tcPr>
            <w:tcW w:w="283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0" w:lineRule="auto" w:line="24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 xml:space="preserve"> Матеріально-технічне забезпечення освітнього заходу </w:t>
            </w:r>
          </w:p>
        </w:tc>
        <w:tc>
          <w:tcPr>
            <w:tcW w:w="6379" w:type="dxa"/>
            <w:tcBorders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- сумка-холодильник (термоконтейнер) з двома комплектами холодових елементів (4 елементи в кожному комплекті) та термометром;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- аптечка з набором лікарських засобів та медичними виробами для надання медичної допомоги при невідкладних станах;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- ін’єкційний матеріал;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- коробка для безпечної утилізації шприців;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- антисептики для обробки шкіри рук;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- </w:t>
            </w:r>
            <w:r>
              <w:rPr>
                <w:rFonts w:ascii="Times New Roman" w:cs="Times New Roman" w:hAnsi="Times New Roman"/>
              </w:rPr>
              <w:t>і</w:t>
            </w:r>
            <w:r>
              <w:rPr>
                <w:rFonts w:ascii="Times New Roman" w:cs="Times New Roman" w:hAnsi="Times New Roman"/>
              </w:rPr>
              <w:t xml:space="preserve">нформаційними матеріалами, плакатами з </w:t>
            </w:r>
            <w:r>
              <w:rPr>
                <w:rFonts w:ascii="Times New Roman" w:cs="Times New Roman" w:hAnsi="Times New Roman"/>
              </w:rPr>
              <w:t>вакцинаційні</w:t>
            </w:r>
            <w:r>
              <w:rPr>
                <w:rFonts w:ascii="Times New Roman" w:cs="Times New Roman" w:hAnsi="Times New Roman"/>
              </w:rPr>
              <w:t xml:space="preserve"> матеріали, в тому числі </w:t>
            </w:r>
            <w:r>
              <w:rPr>
                <w:rFonts w:ascii="Times New Roman" w:cs="Times New Roman" w:hAnsi="Times New Roman"/>
              </w:rPr>
              <w:t>візуалізаційними</w:t>
            </w:r>
            <w:r>
              <w:rPr>
                <w:rFonts w:ascii="Times New Roman" w:cs="Times New Roman" w:hAnsi="Times New Roman"/>
              </w:rPr>
              <w:t xml:space="preserve"> матеріалами надання екстреної медичної допомоги при невідкладних станах.</w:t>
            </w:r>
          </w:p>
        </w:tc>
      </w:tr>
      <w:tr>
        <w:tblPrEx/>
        <w:trPr/>
        <w:tc>
          <w:tcPr>
            <w:tcW w:w="283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0" w:lineRule="auto" w:line="240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 xml:space="preserve">Форми підсумкового контролю </w:t>
            </w:r>
          </w:p>
        </w:tc>
        <w:tc>
          <w:tcPr>
            <w:tcW w:w="6379" w:type="dxa"/>
            <w:tcBorders/>
          </w:tcPr>
          <w:p>
            <w:pPr>
              <w:pStyle w:val="style0"/>
              <w:spacing w:after="0" w:lineRule="auto" w:line="240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  <w:bCs/>
              </w:rPr>
              <w:t>Тестування</w:t>
            </w:r>
          </w:p>
        </w:tc>
      </w:tr>
    </w:tbl>
    <w:p>
      <w:pPr>
        <w:pStyle w:val="style0"/>
        <w:rPr/>
      </w:pPr>
    </w:p>
    <w:p>
      <w:pPr>
        <w:pStyle w:val="style0"/>
        <w:spacing w:after="0" w:lineRule="auto" w:line="240"/>
        <w:jc w:val="center"/>
        <w:rPr>
          <w:rFonts w:ascii="Times New Roman" w:cs="Times New Roman" w:hAnsi="Times New Roman"/>
          <w:b/>
          <w:bCs/>
        </w:rPr>
      </w:pPr>
    </w:p>
    <w:p>
      <w:pPr>
        <w:pStyle w:val="style0"/>
        <w:spacing w:after="0" w:lineRule="auto" w:line="240"/>
        <w:jc w:val="center"/>
        <w:rPr>
          <w:rFonts w:ascii="Times New Roman" w:cs="Times New Roman" w:hAnsi="Times New Roman"/>
          <w:b/>
          <w:bCs/>
        </w:rPr>
      </w:pPr>
    </w:p>
    <w:p>
      <w:pPr>
        <w:pStyle w:val="style0"/>
        <w:spacing w:after="0" w:lineRule="auto" w:line="240"/>
        <w:jc w:val="center"/>
        <w:rPr>
          <w:rFonts w:ascii="Times New Roman" w:cs="Times New Roman" w:hAnsi="Times New Roman"/>
          <w:b/>
          <w:bCs/>
        </w:rPr>
      </w:pPr>
    </w:p>
    <w:p>
      <w:pPr>
        <w:pStyle w:val="style0"/>
        <w:spacing w:after="0" w:lineRule="auto" w:line="240"/>
        <w:jc w:val="center"/>
        <w:rPr>
          <w:rFonts w:ascii="Times New Roman" w:cs="Times New Roman" w:hAnsi="Times New Roman"/>
          <w:b/>
          <w:bCs/>
        </w:rPr>
      </w:pPr>
    </w:p>
    <w:p>
      <w:pPr>
        <w:pStyle w:val="style0"/>
        <w:spacing w:after="0" w:lineRule="auto" w:line="240"/>
        <w:jc w:val="center"/>
        <w:rPr>
          <w:rFonts w:ascii="Times New Roman" w:cs="Times New Roman" w:hAnsi="Times New Roman"/>
          <w:b/>
          <w:bCs/>
        </w:rPr>
      </w:pPr>
    </w:p>
    <w:p>
      <w:pPr>
        <w:pStyle w:val="style0"/>
        <w:spacing w:after="0" w:lineRule="auto" w:line="240"/>
        <w:jc w:val="center"/>
        <w:rPr>
          <w:rFonts w:ascii="Times New Roman" w:cs="Times New Roman" w:hAnsi="Times New Roman"/>
          <w:b/>
          <w:bCs/>
        </w:rPr>
      </w:pPr>
    </w:p>
    <w:p>
      <w:pPr>
        <w:pStyle w:val="style0"/>
        <w:spacing w:after="0" w:lineRule="auto" w:line="240"/>
        <w:jc w:val="center"/>
        <w:rPr>
          <w:rFonts w:ascii="Times New Roman" w:cs="Times New Roman" w:hAnsi="Times New Roman"/>
          <w:b/>
          <w:bCs/>
        </w:rPr>
      </w:pPr>
    </w:p>
    <w:p>
      <w:pPr>
        <w:pStyle w:val="style0"/>
        <w:spacing w:after="0" w:lineRule="auto" w:line="240"/>
        <w:jc w:val="center"/>
        <w:rPr>
          <w:rFonts w:ascii="Times New Roman" w:cs="Times New Roman" w:hAnsi="Times New Roman"/>
          <w:b/>
          <w:bCs/>
        </w:rPr>
      </w:pPr>
    </w:p>
    <w:p>
      <w:pPr>
        <w:pStyle w:val="style0"/>
        <w:spacing w:after="0" w:lineRule="auto" w:line="240"/>
        <w:jc w:val="center"/>
        <w:rPr>
          <w:rFonts w:ascii="Times New Roman" w:cs="Times New Roman" w:hAnsi="Times New Roman"/>
          <w:b/>
          <w:bCs/>
        </w:rPr>
      </w:pPr>
    </w:p>
    <w:p>
      <w:pPr>
        <w:pStyle w:val="style0"/>
        <w:spacing w:after="0" w:lineRule="auto" w:line="240"/>
        <w:jc w:val="center"/>
        <w:rPr>
          <w:rFonts w:ascii="Times New Roman" w:cs="Times New Roman" w:hAnsi="Times New Roman"/>
          <w:b/>
          <w:bCs/>
        </w:rPr>
      </w:pPr>
    </w:p>
    <w:p>
      <w:pPr>
        <w:pStyle w:val="style0"/>
        <w:spacing w:after="0" w:lineRule="auto" w:line="240"/>
        <w:jc w:val="center"/>
        <w:rPr>
          <w:rFonts w:ascii="Times New Roman" w:cs="Times New Roman" w:hAnsi="Times New Roman"/>
          <w:b/>
          <w:bCs/>
        </w:rPr>
      </w:pPr>
    </w:p>
    <w:p>
      <w:pPr>
        <w:pStyle w:val="style0"/>
        <w:spacing w:after="0" w:lineRule="auto" w:line="240"/>
        <w:jc w:val="center"/>
        <w:rPr>
          <w:rFonts w:ascii="Times New Roman" w:cs="Times New Roman" w:hAnsi="Times New Roman"/>
          <w:b/>
          <w:bCs/>
        </w:rPr>
      </w:pPr>
    </w:p>
    <w:p>
      <w:pPr>
        <w:pStyle w:val="style0"/>
        <w:spacing w:after="0" w:lineRule="auto" w:line="240"/>
        <w:jc w:val="center"/>
        <w:rPr>
          <w:rFonts w:ascii="Times New Roman" w:cs="Times New Roman" w:hAnsi="Times New Roman"/>
          <w:b/>
          <w:bCs/>
        </w:rPr>
      </w:pPr>
    </w:p>
    <w:p>
      <w:pPr>
        <w:pStyle w:val="style0"/>
        <w:spacing w:after="0" w:lineRule="auto" w:line="240"/>
        <w:jc w:val="left"/>
        <w:rPr>
          <w:rFonts w:ascii="Times New Roman" w:cs="Times New Roman" w:hAnsi="Times New Roman"/>
          <w:b/>
          <w:bCs/>
        </w:rPr>
      </w:pPr>
    </w:p>
    <w:p>
      <w:pPr>
        <w:pStyle w:val="style0"/>
        <w:spacing w:after="0" w:lineRule="auto" w:line="240"/>
        <w:jc w:val="center"/>
        <w:rPr>
          <w:rFonts w:ascii="Times New Roman" w:cs="Times New Roman" w:hAnsi="Times New Roman"/>
          <w:b/>
          <w:bCs/>
        </w:rPr>
      </w:pPr>
    </w:p>
    <w:p>
      <w:pPr>
        <w:pStyle w:val="style0"/>
        <w:spacing w:after="0" w:lineRule="auto" w:line="240"/>
        <w:jc w:val="left"/>
        <w:rPr>
          <w:rFonts w:ascii="Times New Roman" w:cs="Times New Roman" w:hAnsi="Times New Roman"/>
          <w:b/>
          <w:bCs/>
        </w:rPr>
      </w:pPr>
    </w:p>
    <w:p>
      <w:pPr>
        <w:pStyle w:val="style0"/>
        <w:spacing w:after="0" w:lineRule="auto" w:line="240"/>
        <w:jc w:val="center"/>
        <w:rPr>
          <w:rFonts w:ascii="Times New Roman" w:cs="Times New Roman" w:hAnsi="Times New Roman"/>
          <w:b/>
          <w:bCs/>
        </w:rPr>
      </w:pPr>
    </w:p>
    <w:p>
      <w:pPr>
        <w:pStyle w:val="style0"/>
        <w:spacing w:after="0" w:lineRule="auto" w:line="240"/>
        <w:jc w:val="center"/>
        <w:rPr>
          <w:rFonts w:ascii="Times New Roman" w:cs="Times New Roman" w:hAnsi="Times New Roman"/>
          <w:b/>
          <w:bCs/>
        </w:rPr>
      </w:pPr>
    </w:p>
    <w:p>
      <w:pPr>
        <w:pStyle w:val="style0"/>
        <w:spacing w:after="0" w:lineRule="auto" w:line="240"/>
        <w:jc w:val="center"/>
        <w:rPr>
          <w:rFonts w:ascii="Times New Roman" w:cs="Times New Roman" w:hAnsi="Times New Roman"/>
          <w:b/>
          <w:bCs/>
        </w:rPr>
      </w:pPr>
    </w:p>
    <w:p>
      <w:pPr>
        <w:pStyle w:val="style0"/>
        <w:spacing w:after="0" w:lineRule="auto" w:line="240"/>
        <w:jc w:val="center"/>
        <w:rPr>
          <w:rFonts w:ascii="Times New Roman" w:cs="Times New Roman" w:hAnsi="Times New Roman"/>
          <w:b/>
          <w:bCs/>
        </w:rPr>
      </w:pPr>
    </w:p>
    <w:p>
      <w:pPr>
        <w:pStyle w:val="style0"/>
        <w:spacing w:after="0" w:lineRule="auto" w:line="240"/>
        <w:jc w:val="center"/>
        <w:rPr>
          <w:rFonts w:ascii="Times New Roman" w:cs="Times New Roman" w:hAnsi="Times New Roman"/>
          <w:b/>
          <w:bCs/>
        </w:rPr>
      </w:pPr>
    </w:p>
    <w:p>
      <w:pPr>
        <w:pStyle w:val="style0"/>
        <w:spacing w:after="0" w:lineRule="auto" w:line="240"/>
        <w:jc w:val="center"/>
        <w:rPr>
          <w:rFonts w:ascii="Times New Roman" w:cs="Times New Roman" w:hAnsi="Times New Roman"/>
          <w:b/>
          <w:bCs/>
        </w:rPr>
      </w:pPr>
    </w:p>
    <w:p>
      <w:pPr>
        <w:pStyle w:val="style0"/>
        <w:spacing w:after="0" w:lineRule="auto" w:line="240"/>
        <w:jc w:val="center"/>
        <w:rPr>
          <w:rFonts w:ascii="Times New Roman" w:cs="Times New Roman" w:hAnsi="Times New Roman"/>
          <w:b/>
          <w:bCs/>
        </w:rPr>
      </w:pPr>
    </w:p>
    <w:p>
      <w:pPr>
        <w:pStyle w:val="style0"/>
        <w:spacing w:after="0" w:lineRule="auto" w:line="240"/>
        <w:jc w:val="center"/>
        <w:rPr>
          <w:rFonts w:ascii="Times New Roman" w:cs="Times New Roman" w:hAnsi="Times New Roman"/>
          <w:b/>
          <w:bCs/>
        </w:rPr>
      </w:pPr>
    </w:p>
    <w:p>
      <w:pPr>
        <w:pStyle w:val="style0"/>
        <w:spacing w:after="0" w:lineRule="auto" w:line="240"/>
        <w:jc w:val="center"/>
        <w:rPr>
          <w:rFonts w:ascii="Times New Roman" w:cs="Times New Roman" w:hAnsi="Times New Roman"/>
          <w:b/>
          <w:bCs/>
        </w:rPr>
      </w:pPr>
    </w:p>
    <w:p>
      <w:pPr>
        <w:pStyle w:val="style0"/>
        <w:spacing w:after="0" w:lineRule="auto" w:line="240"/>
        <w:jc w:val="center"/>
        <w:rPr>
          <w:rFonts w:ascii="Times New Roman" w:cs="Times New Roman" w:hAnsi="Times New Roman"/>
          <w:b/>
          <w:bCs/>
        </w:rPr>
      </w:pPr>
    </w:p>
    <w:p>
      <w:pPr>
        <w:pStyle w:val="style0"/>
        <w:spacing w:after="0" w:lineRule="auto" w:line="240"/>
        <w:jc w:val="center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КАРТКА ЗАХОДУ</w:t>
      </w:r>
    </w:p>
    <w:p>
      <w:pPr>
        <w:pStyle w:val="style0"/>
        <w:spacing w:after="0" w:lineRule="auto" w:line="240"/>
        <w:jc w:val="center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БПР МЕДИЧНИХ ТА ФАРМАЦЕВТИЧНИХ ПРАЦІВНИКІВ</w:t>
      </w:r>
    </w:p>
    <w:p>
      <w:pPr>
        <w:pStyle w:val="style0"/>
        <w:spacing w:after="0" w:lineRule="auto" w:line="240"/>
        <w:rPr>
          <w:rFonts w:ascii="Times New Roman" w:cs="Times New Roman" w:hAnsi="Times New Roman"/>
          <w:b/>
          <w:bCs/>
        </w:rPr>
      </w:pPr>
    </w:p>
    <w:tbl>
      <w:tblPr>
        <w:tblStyle w:val="style154"/>
        <w:tblW w:w="9634" w:type="dxa"/>
        <w:tblLook w:val="04A0" w:firstRow="1" w:lastRow="0" w:firstColumn="1" w:lastColumn="0" w:noHBand="0" w:noVBand="1"/>
      </w:tblPr>
      <w:tblGrid>
        <w:gridCol w:w="3291"/>
        <w:gridCol w:w="6343"/>
      </w:tblGrid>
      <w:tr>
        <w:trPr>
          <w:trHeight w:val="300" w:hRule="atLeast"/>
        </w:trPr>
        <w:tc>
          <w:tcPr>
            <w:tcW w:w="3114" w:type="dxa"/>
            <w:tcBorders/>
          </w:tcPr>
          <w:p>
            <w:pPr>
              <w:pStyle w:val="style0"/>
              <w:numPr>
                <w:ilvl w:val="0"/>
                <w:numId w:val="1"/>
              </w:numPr>
              <w:ind w:left="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Назва заходу БПР</w:t>
            </w:r>
          </w:p>
        </w:tc>
        <w:tc>
          <w:tcPr>
            <w:tcW w:w="652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Правила організації і техніки проведення щеплень відповідно до оновленого Календаря профілактичних щеплень в Україні. Несприятливі події після імунізації та навички надання невідкладної допомоги</w:t>
            </w:r>
          </w:p>
        </w:tc>
      </w:tr>
      <w:tr>
        <w:tblPrEx/>
        <w:trPr>
          <w:trHeight w:val="300" w:hRule="atLeast"/>
        </w:trPr>
        <w:tc>
          <w:tcPr>
            <w:tcW w:w="3114" w:type="dxa"/>
            <w:tcBorders/>
          </w:tcPr>
          <w:p>
            <w:pPr>
              <w:pStyle w:val="style0"/>
              <w:numPr>
                <w:ilvl w:val="0"/>
                <w:numId w:val="1"/>
              </w:numPr>
              <w:ind w:left="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Назва Провайдера (з Єдиного державного реєстру юридичних осіб, фізичних осіб – підприємців та громадських формувань)</w:t>
            </w:r>
          </w:p>
        </w:tc>
        <w:tc>
          <w:tcPr>
            <w:tcW w:w="652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Державна установа «Хмельницький обласний центр контролю та профілактики </w:t>
            </w:r>
            <w:r>
              <w:rPr>
                <w:rFonts w:ascii="Times New Roman" w:cs="Times New Roman" w:hAnsi="Times New Roman"/>
              </w:rPr>
              <w:t>хвороб</w:t>
            </w:r>
            <w:r>
              <w:rPr>
                <w:rFonts w:ascii="Times New Roman" w:cs="Times New Roman" w:hAnsi="Times New Roman"/>
              </w:rPr>
              <w:t xml:space="preserve"> МОЗ України»</w:t>
            </w:r>
          </w:p>
        </w:tc>
      </w:tr>
      <w:tr>
        <w:tblPrEx/>
        <w:trPr>
          <w:trHeight w:val="300" w:hRule="atLeast"/>
        </w:trPr>
        <w:tc>
          <w:tcPr>
            <w:tcW w:w="3114" w:type="dxa"/>
            <w:tcBorders/>
          </w:tcPr>
          <w:p>
            <w:pPr>
              <w:pStyle w:val="style0"/>
              <w:numPr>
                <w:ilvl w:val="0"/>
                <w:numId w:val="1"/>
              </w:numPr>
              <w:ind w:left="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Мета заходу</w:t>
            </w:r>
          </w:p>
        </w:tc>
        <w:tc>
          <w:tcPr>
            <w:tcW w:w="652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Метою заходу є підвищення професійної компетентності медичних фахівців шляхом проведення тренінгу, присвяченого:</w:t>
            </w:r>
          </w:p>
          <w:p>
            <w:pPr>
              <w:pStyle w:val="style0"/>
              <w:numPr>
                <w:ilvl w:val="0"/>
                <w:numId w:val="2"/>
              </w:numPr>
              <w:ind w:left="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- </w:t>
            </w:r>
            <w:r>
              <w:rPr>
                <w:rFonts w:ascii="Times New Roman" w:cs="Times New Roman" w:hAnsi="Times New Roman"/>
              </w:rPr>
              <w:t>організації та техніці проведення профілактичних щеплень відповідно до оновленого Календаря щеплень України;</w:t>
            </w:r>
          </w:p>
          <w:p>
            <w:pPr>
              <w:pStyle w:val="style0"/>
              <w:numPr>
                <w:ilvl w:val="0"/>
                <w:numId w:val="2"/>
              </w:numPr>
              <w:ind w:left="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- </w:t>
            </w:r>
            <w:r>
              <w:rPr>
                <w:rFonts w:ascii="Times New Roman" w:cs="Times New Roman" w:hAnsi="Times New Roman"/>
              </w:rPr>
              <w:t>огляду щодо вакцинації проти вірусу папіломи людини;</w:t>
            </w:r>
          </w:p>
          <w:p>
            <w:pPr>
              <w:pStyle w:val="style0"/>
              <w:numPr>
                <w:ilvl w:val="0"/>
                <w:numId w:val="2"/>
              </w:numPr>
              <w:ind w:left="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- </w:t>
            </w:r>
            <w:r>
              <w:rPr>
                <w:rFonts w:ascii="Times New Roman" w:cs="Times New Roman" w:hAnsi="Times New Roman"/>
              </w:rPr>
              <w:t>своєчасному розпізнаванню, реєстрації та реагуванню на несприятливі події після імунізації;</w:t>
            </w:r>
          </w:p>
          <w:p>
            <w:pPr>
              <w:pStyle w:val="style0"/>
              <w:numPr>
                <w:ilvl w:val="0"/>
                <w:numId w:val="2"/>
              </w:numPr>
              <w:ind w:left="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- </w:t>
            </w:r>
            <w:r>
              <w:rPr>
                <w:rFonts w:ascii="Times New Roman" w:cs="Times New Roman" w:hAnsi="Times New Roman"/>
              </w:rPr>
              <w:t>відпрацюванню практичних навичок надання невідкладної медичної допомоги при ускладненнях, що можуть виникати під час чи після вакцинації.</w:t>
            </w:r>
          </w:p>
        </w:tc>
      </w:tr>
      <w:tr>
        <w:tblPrEx/>
        <w:trPr/>
        <w:tc>
          <w:tcPr>
            <w:tcW w:w="3114" w:type="dxa"/>
            <w:tcBorders/>
          </w:tcPr>
          <w:p>
            <w:pPr>
              <w:pStyle w:val="style0"/>
              <w:numPr>
                <w:ilvl w:val="0"/>
                <w:numId w:val="1"/>
              </w:numPr>
              <w:ind w:left="0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hAnsi="Times New Roman"/>
              </w:rPr>
              <w:t>Вид освітнього заходу</w:t>
            </w:r>
          </w:p>
        </w:tc>
        <w:tc>
          <w:tcPr>
            <w:tcW w:w="652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  <w:lang w:val="uk-UA"/>
              </w:rPr>
              <w:t xml:space="preserve">Тренінг </w:t>
            </w:r>
          </w:p>
        </w:tc>
      </w:tr>
      <w:tr>
        <w:tblPrEx/>
        <w:trPr/>
        <w:tc>
          <w:tcPr>
            <w:tcW w:w="3114" w:type="dxa"/>
            <w:tcBorders/>
          </w:tcPr>
          <w:p>
            <w:pPr>
              <w:pStyle w:val="style0"/>
              <w:numPr>
                <w:ilvl w:val="0"/>
                <w:numId w:val="1"/>
              </w:numPr>
              <w:ind w:left="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Формат заходу</w:t>
            </w:r>
          </w:p>
        </w:tc>
        <w:tc>
          <w:tcPr>
            <w:tcW w:w="652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особиста участь працівника сфери охорони здоров’я в освітній події у місці її проведення</w:t>
            </w:r>
          </w:p>
        </w:tc>
      </w:tr>
      <w:tr>
        <w:tblPrEx/>
        <w:trPr/>
        <w:tc>
          <w:tcPr>
            <w:tcW w:w="3114" w:type="dxa"/>
            <w:tcBorders/>
          </w:tcPr>
          <w:p>
            <w:pPr>
              <w:pStyle w:val="style0"/>
              <w:numPr>
                <w:ilvl w:val="0"/>
                <w:numId w:val="1"/>
              </w:numPr>
              <w:ind w:left="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Кількість балів БПР</w:t>
            </w:r>
          </w:p>
        </w:tc>
        <w:tc>
          <w:tcPr>
            <w:tcW w:w="652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u w:val="single"/>
              </w:rPr>
            </w:pPr>
            <w:r>
              <w:rPr>
                <w:rFonts w:ascii="Times New Roman" w:cs="Times New Roman" w:hAnsi="Times New Roman"/>
                <w:u w:val="single"/>
              </w:rPr>
              <w:t>1</w:t>
            </w:r>
            <w:r>
              <w:rPr>
                <w:rFonts w:ascii="Times New Roman" w:cs="Times New Roman" w:hAnsi="Times New Roman"/>
                <w:u w:val="single"/>
              </w:rPr>
              <w:t>6,5</w:t>
            </w:r>
            <w:r>
              <w:rPr>
                <w:rFonts w:ascii="Times New Roman" w:cs="Times New Roman" w:hAnsi="Times New Roman"/>
                <w:u w:val="single"/>
              </w:rPr>
              <w:t xml:space="preserve"> балів</w:t>
            </w:r>
          </w:p>
        </w:tc>
      </w:tr>
      <w:tr>
        <w:tblPrEx/>
        <w:trPr/>
        <w:tc>
          <w:tcPr>
            <w:tcW w:w="3114" w:type="dxa"/>
            <w:tcBorders/>
          </w:tcPr>
          <w:p>
            <w:pPr>
              <w:pStyle w:val="style0"/>
              <w:numPr>
                <w:ilvl w:val="0"/>
                <w:numId w:val="1"/>
              </w:numPr>
              <w:ind w:left="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Дати проведення заходу</w:t>
            </w:r>
          </w:p>
        </w:tc>
        <w:tc>
          <w:tcPr>
            <w:tcW w:w="652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u w:val="single"/>
              </w:rPr>
            </w:pPr>
            <w:r>
              <w:rPr>
                <w:rFonts w:ascii="Times New Roman" w:cs="Times New Roman" w:hAnsi="Times New Roman"/>
                <w:u w:val="single"/>
                <w:lang w:val="en-US"/>
              </w:rPr>
              <w:t xml:space="preserve">26, 29 </w:t>
            </w:r>
            <w:r>
              <w:rPr>
                <w:rFonts w:ascii="Times New Roman" w:cs="Times New Roman" w:hAnsi="Times New Roman"/>
                <w:u w:val="single"/>
                <w:lang w:val="uk-UA"/>
              </w:rPr>
              <w:t>травня</w:t>
            </w:r>
            <w:r>
              <w:rPr>
                <w:rFonts w:ascii="Times New Roman" w:cs="Times New Roman" w:hAnsi="Times New Roman"/>
                <w:u w:val="single"/>
                <w:lang w:val="en-US"/>
              </w:rPr>
              <w:t xml:space="preserve">, 02, 04, 09, 23, 25, 29 </w:t>
            </w:r>
            <w:r>
              <w:rPr>
                <w:rFonts w:ascii="Times New Roman" w:cs="Times New Roman" w:hAnsi="Times New Roman"/>
                <w:u w:val="single"/>
                <w:lang w:val="uk-UA"/>
              </w:rPr>
              <w:t xml:space="preserve">червня </w:t>
            </w:r>
          </w:p>
        </w:tc>
      </w:tr>
      <w:tr>
        <w:tblPrEx/>
        <w:trPr/>
        <w:tc>
          <w:tcPr>
            <w:tcW w:w="3114" w:type="dxa"/>
            <w:tcBorders/>
          </w:tcPr>
          <w:p>
            <w:pPr>
              <w:pStyle w:val="style0"/>
              <w:numPr>
                <w:ilvl w:val="0"/>
                <w:numId w:val="1"/>
              </w:numPr>
              <w:ind w:left="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Кількість навчальних годин</w:t>
            </w:r>
          </w:p>
        </w:tc>
        <w:tc>
          <w:tcPr>
            <w:tcW w:w="652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11 </w:t>
            </w:r>
            <w:r>
              <w:rPr>
                <w:rFonts w:ascii="Times New Roman" w:cs="Times New Roman" w:hAnsi="Times New Roman"/>
              </w:rPr>
              <w:t xml:space="preserve">академічних </w:t>
            </w:r>
            <w:r>
              <w:rPr>
                <w:rFonts w:ascii="Times New Roman" w:cs="Times New Roman" w:hAnsi="Times New Roman"/>
              </w:rPr>
              <w:t>годин</w:t>
            </w:r>
          </w:p>
        </w:tc>
      </w:tr>
      <w:tr>
        <w:tblPrEx/>
        <w:trPr/>
        <w:tc>
          <w:tcPr>
            <w:tcW w:w="3114" w:type="dxa"/>
            <w:tcBorders/>
          </w:tcPr>
          <w:p>
            <w:pPr>
              <w:pStyle w:val="style0"/>
              <w:numPr>
                <w:ilvl w:val="0"/>
                <w:numId w:val="1"/>
              </w:numPr>
              <w:ind w:left="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Місце проведення </w:t>
            </w:r>
          </w:p>
        </w:tc>
        <w:tc>
          <w:tcPr>
            <w:tcW w:w="652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- </w:t>
            </w:r>
            <w:r>
              <w:rPr>
                <w:rFonts w:ascii="Times New Roman" w:cs="Times New Roman" w:hAnsi="Times New Roman"/>
                <w:lang w:val="uk-UA"/>
              </w:rPr>
              <w:t xml:space="preserve">КП </w:t>
            </w:r>
            <w:r>
              <w:rPr>
                <w:rFonts w:ascii="Times New Roman" w:cs="Times New Roman" w:hAnsi="Times New Roman"/>
                <w:lang w:val="en-US"/>
              </w:rPr>
              <w:t>"</w:t>
            </w:r>
            <w:r>
              <w:rPr>
                <w:rFonts w:ascii="Times New Roman" w:cs="Times New Roman" w:hAnsi="Times New Roman"/>
                <w:lang w:val="uk-UA"/>
              </w:rPr>
              <w:t xml:space="preserve">Хмельницький міський центр первинної медико-санітарної допомоги </w:t>
            </w:r>
            <w:r>
              <w:rPr>
                <w:rFonts w:ascii="Times New Roman" w:cs="Times New Roman" w:hAnsi="Times New Roman"/>
                <w:lang w:val="en-US"/>
              </w:rPr>
              <w:t xml:space="preserve">1" </w:t>
            </w:r>
            <w:r>
              <w:rPr>
                <w:rFonts w:ascii="Times New Roman" w:cs="Times New Roman" w:hAnsi="Times New Roman"/>
                <w:lang w:val="uk-UA"/>
              </w:rPr>
              <w:t>Хмельницької міської ради,</w:t>
            </w:r>
            <w:r>
              <w:rPr>
                <w:rFonts w:ascii="Times New Roman" w:cs="Times New Roman" w:hAnsi="Times New Roman"/>
                <w:lang w:val="en-US"/>
              </w:rPr>
              <w:t xml:space="preserve"> </w:t>
            </w:r>
            <w:r>
              <w:rPr>
                <w:rFonts w:ascii="Times New Roman" w:cs="Times New Roman" w:hAnsi="Times New Roman"/>
                <w:lang w:val="uk-UA"/>
              </w:rPr>
              <w:t>м</w:t>
            </w:r>
            <w:r>
              <w:rPr>
                <w:rFonts w:ascii="Times New Roman" w:cs="Times New Roman" w:hAnsi="Times New Roman"/>
                <w:lang w:val="en-US"/>
              </w:rPr>
              <w:t xml:space="preserve">. </w:t>
            </w:r>
            <w:r>
              <w:rPr>
                <w:rFonts w:ascii="Times New Roman" w:cs="Times New Roman" w:hAnsi="Times New Roman"/>
                <w:lang w:val="uk-UA"/>
              </w:rPr>
              <w:t>Хмельницький,</w:t>
            </w:r>
            <w:r>
              <w:rPr>
                <w:rFonts w:ascii="Times New Roman" w:cs="Times New Roman" w:hAnsi="Times New Roman"/>
                <w:lang w:val="en-US"/>
              </w:rPr>
              <w:t xml:space="preserve"> </w:t>
            </w:r>
            <w:r>
              <w:rPr>
                <w:rFonts w:ascii="Times New Roman" w:cs="Times New Roman" w:hAnsi="Times New Roman"/>
                <w:lang w:val="uk-UA"/>
              </w:rPr>
              <w:t>вул</w:t>
            </w:r>
            <w:r>
              <w:rPr>
                <w:rFonts w:ascii="Times New Roman" w:cs="Times New Roman" w:hAnsi="Times New Roman"/>
                <w:lang w:val="en-US"/>
              </w:rPr>
              <w:t xml:space="preserve">. </w:t>
            </w:r>
            <w:r>
              <w:rPr>
                <w:rFonts w:ascii="Times New Roman" w:cs="Times New Roman" w:hAnsi="Times New Roman"/>
                <w:lang w:val="uk-UA"/>
              </w:rPr>
              <w:t>Гречка</w:t>
            </w:r>
            <w:r>
              <w:rPr>
                <w:rFonts w:ascii="Times New Roman" w:cs="Times New Roman" w:hAnsi="Times New Roman"/>
                <w:lang w:val="en-US"/>
              </w:rPr>
              <w:t>, 12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- КНП "ЦПМСД" Волочиської МР, Хмельницький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р-н, м. Волочиськ,  вул. Незалежності, 64;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- К</w:t>
            </w:r>
            <w:r>
              <w:rPr>
                <w:rFonts w:ascii="Times New Roman" w:cs="Times New Roman" w:hAnsi="Times New Roman"/>
                <w:lang w:val="uk-UA"/>
              </w:rPr>
              <w:t xml:space="preserve">П </w:t>
            </w:r>
            <w:r>
              <w:rPr>
                <w:rFonts w:ascii="Times New Roman" w:cs="Times New Roman" w:hAnsi="Times New Roman"/>
                <w:lang w:val="en-US"/>
              </w:rPr>
              <w:t>"</w:t>
            </w:r>
            <w:r>
              <w:rPr>
                <w:rFonts w:ascii="Times New Roman" w:cs="Times New Roman" w:hAnsi="Times New Roman"/>
                <w:lang w:val="uk-UA"/>
              </w:rPr>
              <w:t xml:space="preserve">Хмельницький міський центр первинної медико-санітарної допомоги </w:t>
            </w:r>
            <w:r>
              <w:rPr>
                <w:rFonts w:ascii="Times New Roman" w:cs="Times New Roman" w:hAnsi="Times New Roman"/>
                <w:lang w:val="en-US"/>
              </w:rPr>
              <w:t xml:space="preserve">2" </w:t>
            </w:r>
            <w:r>
              <w:rPr>
                <w:rFonts w:ascii="Times New Roman" w:cs="Times New Roman" w:hAnsi="Times New Roman"/>
                <w:lang w:val="uk-UA"/>
              </w:rPr>
              <w:t>Хмельницької міської ради,</w:t>
            </w:r>
            <w:r>
              <w:rPr>
                <w:rFonts w:ascii="Times New Roman" w:cs="Times New Roman" w:hAnsi="Times New Roman"/>
                <w:lang w:val="en-US"/>
              </w:rPr>
              <w:t xml:space="preserve"> </w:t>
            </w:r>
            <w:r>
              <w:rPr>
                <w:rFonts w:ascii="Times New Roman" w:cs="Times New Roman" w:hAnsi="Times New Roman"/>
                <w:lang w:val="uk-UA"/>
              </w:rPr>
              <w:t>м</w:t>
            </w:r>
            <w:r>
              <w:rPr>
                <w:rFonts w:ascii="Times New Roman" w:cs="Times New Roman" w:hAnsi="Times New Roman"/>
                <w:lang w:val="en-US"/>
              </w:rPr>
              <w:t>.</w:t>
            </w:r>
            <w:r>
              <w:rPr>
                <w:rFonts w:ascii="Times New Roman" w:cs="Times New Roman" w:hAnsi="Times New Roman"/>
                <w:lang w:val="uk-UA"/>
              </w:rPr>
              <w:t xml:space="preserve"> Хмельницький</w:t>
            </w:r>
            <w:r>
              <w:rPr>
                <w:rFonts w:ascii="Times New Roman" w:cs="Times New Roman" w:hAnsi="Times New Roman"/>
                <w:lang w:val="en-US"/>
              </w:rPr>
              <w:t xml:space="preserve">, </w:t>
            </w:r>
            <w:r>
              <w:rPr>
                <w:rFonts w:ascii="Times New Roman" w:cs="Times New Roman" w:hAnsi="Times New Roman"/>
                <w:lang w:val="uk-UA"/>
              </w:rPr>
              <w:t>вул</w:t>
            </w:r>
            <w:r>
              <w:rPr>
                <w:rFonts w:ascii="Times New Roman" w:cs="Times New Roman" w:hAnsi="Times New Roman"/>
                <w:lang w:val="en-US"/>
              </w:rPr>
              <w:t xml:space="preserve">. </w:t>
            </w:r>
            <w:r>
              <w:rPr>
                <w:rFonts w:ascii="Times New Roman" w:cs="Times New Roman" w:hAnsi="Times New Roman"/>
                <w:lang w:val="uk-UA"/>
              </w:rPr>
              <w:t>Подільська,</w:t>
            </w:r>
            <w:r>
              <w:rPr>
                <w:rFonts w:ascii="Times New Roman" w:cs="Times New Roman" w:hAnsi="Times New Roman"/>
                <w:lang w:val="en-US"/>
              </w:rPr>
              <w:t xml:space="preserve"> 54</w:t>
            </w:r>
          </w:p>
        </w:tc>
      </w:tr>
      <w:tr>
        <w:tblPrEx/>
        <w:trPr/>
        <w:tc>
          <w:tcPr>
            <w:tcW w:w="3114" w:type="dxa"/>
            <w:vMerge w:val="restart"/>
            <w:tcBorders/>
          </w:tcPr>
          <w:p>
            <w:pPr>
              <w:pStyle w:val="style0"/>
              <w:numPr>
                <w:ilvl w:val="0"/>
                <w:numId w:val="1"/>
              </w:numPr>
              <w:ind w:left="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Цільова аудиторія</w:t>
            </w:r>
          </w:p>
        </w:tc>
        <w:tc>
          <w:tcPr>
            <w:tcW w:w="652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Лікарська  спеціальність: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  <w:b/>
                <w:bCs/>
              </w:rPr>
              <w:t xml:space="preserve">- </w:t>
            </w:r>
            <w:r>
              <w:rPr>
                <w:rFonts w:ascii="Times New Roman" w:cs="Times New Roman" w:hAnsi="Times New Roman"/>
              </w:rPr>
              <w:t xml:space="preserve">загальна практика сімейна медицина (лікар загальної практики - сімейний лікар); 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- педіатрія (лікар-педіатр);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- дитяча імунологія (лікар-імунолог дитячий); 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- імунологія (лікар-імунолог);</w:t>
            </w:r>
          </w:p>
          <w:p>
            <w:pPr>
              <w:pStyle w:val="style0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hAnsi="Times New Roman"/>
              </w:rPr>
              <w:t>- внутрішні хвороби (лікар-терапевт)</w:t>
            </w:r>
          </w:p>
        </w:tc>
      </w:tr>
      <w:tr>
        <w:tblPrEx/>
        <w:trPr/>
        <w:tc>
          <w:tcPr>
            <w:tcW w:w="3114" w:type="dxa"/>
            <w:vMerge w:val="continue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652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Спеціальності молодших спеціалістів з медичною освітою</w:t>
            </w:r>
            <w:r>
              <w:rPr>
                <w:rFonts w:ascii="Times New Roman" w:cs="Times New Roman" w:hAnsi="Times New Roman"/>
              </w:rPr>
              <w:t>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  <w:color w:val="000000"/>
              </w:rPr>
              <w:t xml:space="preserve">- </w:t>
            </w:r>
            <w:r>
              <w:rPr>
                <w:rFonts w:ascii="Times New Roman" w:cs="Times New Roman" w:hAnsi="Times New Roman"/>
              </w:rPr>
              <w:t xml:space="preserve">загальна практика сімейна медицина ( сестра медична (брат медичний); 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- педіатрія (сестра медична (брат медичний) в педіатрії);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- лікувальна справа (фельдшер).</w:t>
            </w:r>
          </w:p>
        </w:tc>
      </w:tr>
      <w:tr>
        <w:tblPrEx/>
        <w:trPr/>
        <w:tc>
          <w:tcPr>
            <w:tcW w:w="3114" w:type="dxa"/>
            <w:tcBorders/>
          </w:tcPr>
          <w:p>
            <w:pPr>
              <w:pStyle w:val="style0"/>
              <w:numPr>
                <w:ilvl w:val="0"/>
                <w:numId w:val="1"/>
              </w:numPr>
              <w:ind w:left="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 Запланована кількість учасників</w:t>
            </w:r>
          </w:p>
        </w:tc>
        <w:tc>
          <w:tcPr>
            <w:tcW w:w="652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bCs/>
              </w:rPr>
            </w:pPr>
            <w:r>
              <w:rPr>
                <w:rFonts w:ascii="Times New Roman" w:cs="Times New Roman" w:hAnsi="Times New Roman"/>
                <w:bCs/>
                <w:lang w:val="en-US"/>
              </w:rPr>
              <w:t>20</w:t>
            </w:r>
          </w:p>
        </w:tc>
      </w:tr>
      <w:tr>
        <w:tblPrEx/>
        <w:trPr/>
        <w:tc>
          <w:tcPr>
            <w:tcW w:w="3114" w:type="dxa"/>
            <w:tcBorders/>
          </w:tcPr>
          <w:p>
            <w:pPr>
              <w:pStyle w:val="style0"/>
              <w:numPr>
                <w:ilvl w:val="0"/>
                <w:numId w:val="1"/>
              </w:numPr>
              <w:ind w:left="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 Мова проведення </w:t>
            </w:r>
          </w:p>
        </w:tc>
        <w:tc>
          <w:tcPr>
            <w:tcW w:w="652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hAnsi="Times New Roman"/>
                <w:i/>
                <w:iCs/>
              </w:rPr>
              <w:t>Українська</w:t>
            </w:r>
          </w:p>
        </w:tc>
      </w:tr>
      <w:tr>
        <w:tblPrEx/>
        <w:trPr/>
        <w:tc>
          <w:tcPr>
            <w:tcW w:w="3114" w:type="dxa"/>
            <w:tcBorders/>
          </w:tcPr>
          <w:p>
            <w:pPr>
              <w:pStyle w:val="style0"/>
              <w:numPr>
                <w:ilvl w:val="0"/>
                <w:numId w:val="1"/>
              </w:numPr>
              <w:ind w:left="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Програма проведення заходу </w:t>
            </w:r>
          </w:p>
        </w:tc>
        <w:tc>
          <w:tcPr>
            <w:tcW w:w="652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i/>
                <w:iCs/>
              </w:rPr>
            </w:pPr>
            <w:r>
              <w:rPr>
                <w:rFonts w:ascii="Times New Roman" w:cs="Times New Roman" w:hAnsi="Times New Roman"/>
                <w:i/>
                <w:iCs/>
              </w:rPr>
              <w:t>Додається</w:t>
            </w:r>
          </w:p>
        </w:tc>
      </w:tr>
      <w:tr>
        <w:tblPrEx/>
        <w:trPr/>
        <w:tc>
          <w:tcPr>
            <w:tcW w:w="3114" w:type="dxa"/>
            <w:tcBorders/>
          </w:tcPr>
          <w:p>
            <w:pPr>
              <w:pStyle w:val="style0"/>
              <w:numPr>
                <w:ilvl w:val="0"/>
                <w:numId w:val="1"/>
              </w:numPr>
              <w:ind w:left="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Навчальна програма </w:t>
            </w:r>
          </w:p>
        </w:tc>
        <w:tc>
          <w:tcPr>
            <w:tcW w:w="652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i/>
                <w:iCs/>
              </w:rPr>
            </w:pPr>
            <w:r>
              <w:rPr>
                <w:rFonts w:ascii="Times New Roman" w:cs="Times New Roman" w:hAnsi="Times New Roman"/>
                <w:i/>
                <w:iCs/>
              </w:rPr>
              <w:t>Додається</w:t>
            </w:r>
          </w:p>
        </w:tc>
      </w:tr>
      <w:tr>
        <w:tblPrEx/>
        <w:trPr/>
        <w:tc>
          <w:tcPr>
            <w:tcW w:w="3114" w:type="dxa"/>
            <w:tcBorders/>
          </w:tcPr>
          <w:p>
            <w:pPr>
              <w:pStyle w:val="style0"/>
              <w:numPr>
                <w:ilvl w:val="0"/>
                <w:numId w:val="1"/>
              </w:numPr>
              <w:ind w:left="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Прізвище, ім’я, по батькові лекторів</w:t>
            </w:r>
          </w:p>
        </w:tc>
        <w:tc>
          <w:tcPr>
            <w:tcW w:w="652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Байрачна Наталія Михайлівна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Козар Олена Володимирівна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Оленкевич</w:t>
            </w:r>
            <w:r>
              <w:rPr>
                <w:rFonts w:ascii="Times New Roman" w:cs="Times New Roman" w:hAnsi="Times New Roman"/>
              </w:rPr>
              <w:t xml:space="preserve"> Світлана Павлівна</w:t>
            </w:r>
          </w:p>
        </w:tc>
      </w:tr>
      <w:tr>
        <w:tblPrEx/>
        <w:trPr/>
        <w:tc>
          <w:tcPr>
            <w:tcW w:w="3114" w:type="dxa"/>
            <w:tcBorders/>
          </w:tcPr>
          <w:p>
            <w:pPr>
              <w:pStyle w:val="style0"/>
              <w:numPr>
                <w:ilvl w:val="0"/>
                <w:numId w:val="1"/>
              </w:numPr>
              <w:ind w:left="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 Підтвердження акредитацію за кордоном чи в Україні EACCME/ACCME/RCPSC чи сертифікацію ERC/ILCOR/AHA (за необхідності)</w:t>
            </w:r>
          </w:p>
        </w:tc>
        <w:tc>
          <w:tcPr>
            <w:tcW w:w="652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hAnsi="Times New Roman"/>
                <w:b/>
                <w:bCs/>
              </w:rPr>
              <w:t>-</w:t>
            </w:r>
          </w:p>
        </w:tc>
      </w:tr>
      <w:tr>
        <w:tblPrEx/>
        <w:trPr/>
        <w:tc>
          <w:tcPr>
            <w:tcW w:w="3114" w:type="dxa"/>
            <w:tcBorders/>
          </w:tcPr>
          <w:p>
            <w:pPr>
              <w:pStyle w:val="style0"/>
              <w:numPr>
                <w:ilvl w:val="0"/>
                <w:numId w:val="1"/>
              </w:numPr>
              <w:ind w:left="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 Використання спеціалізованого матеріально-технічного забезпечення (за наявності)</w:t>
            </w:r>
          </w:p>
        </w:tc>
        <w:tc>
          <w:tcPr>
            <w:tcW w:w="652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- сумка-холодильник (термоконтейнер) з двома комплектами холодових елементів (4 елементи в кожному комплекті) та термометром;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- аптечка з набором лікарських засобів та медичними виробами для надання медичної допомоги при невідкладних станах;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- ін’єкційний матеріал;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- коробка для безпечної утилізації шприців;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- антисептики для обробки шкіри рук;</w:t>
            </w:r>
          </w:p>
          <w:p>
            <w:pPr>
              <w:pStyle w:val="style0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hAnsi="Times New Roman"/>
              </w:rPr>
              <w:t xml:space="preserve">- інформаційними матеріалами, плакатами з </w:t>
            </w:r>
            <w:r>
              <w:rPr>
                <w:rFonts w:ascii="Times New Roman" w:cs="Times New Roman" w:hAnsi="Times New Roman"/>
              </w:rPr>
              <w:t>вакцинаційні</w:t>
            </w:r>
            <w:r>
              <w:rPr>
                <w:rFonts w:ascii="Times New Roman" w:cs="Times New Roman" w:hAnsi="Times New Roman"/>
              </w:rPr>
              <w:t xml:space="preserve"> матеріали, в тому числі </w:t>
            </w:r>
            <w:r>
              <w:rPr>
                <w:rFonts w:ascii="Times New Roman" w:cs="Times New Roman" w:hAnsi="Times New Roman"/>
              </w:rPr>
              <w:t>візуалізаційними</w:t>
            </w:r>
            <w:r>
              <w:rPr>
                <w:rFonts w:ascii="Times New Roman" w:cs="Times New Roman" w:hAnsi="Times New Roman"/>
              </w:rPr>
              <w:t xml:space="preserve"> матеріалами надання екстреної медичної допомоги при невідкладних станах.</w:t>
            </w:r>
          </w:p>
        </w:tc>
      </w:tr>
    </w:tbl>
    <w:p>
      <w:pPr>
        <w:pStyle w:val="style0"/>
        <w:spacing w:after="0" w:lineRule="auto" w:line="240"/>
        <w:rPr>
          <w:rFonts w:ascii="Times New Roman" w:cs="Times New Roman" w:hAnsi="Times New Roman"/>
        </w:rPr>
      </w:pPr>
    </w:p>
    <w:p>
      <w:pPr>
        <w:pStyle w:val="style0"/>
        <w:spacing w:after="0" w:lineRule="auto" w:line="240"/>
        <w:rPr>
          <w:rFonts w:ascii="Times New Roman" w:cs="Times New Roman" w:hAnsi="Times New Roman"/>
        </w:rPr>
      </w:pPr>
    </w:p>
    <w:p>
      <w:pPr>
        <w:pStyle w:val="style0"/>
        <w:spacing w:after="0" w:lineRule="auto" w:line="240"/>
        <w:rPr>
          <w:rFonts w:ascii="Times New Roman" w:cs="Times New Roman" w:hAnsi="Times New Roman"/>
        </w:rPr>
      </w:pPr>
    </w:p>
    <w:p>
      <w:pPr>
        <w:pStyle w:val="style0"/>
        <w:spacing w:after="0" w:lineRule="auto" w:line="240"/>
        <w:rPr>
          <w:rFonts w:ascii="Times New Roman" w:cs="Times New Roman" w:hAnsi="Times New Roman"/>
        </w:rPr>
      </w:pPr>
    </w:p>
    <w:p>
      <w:pPr>
        <w:pStyle w:val="style0"/>
        <w:spacing w:after="0" w:lineRule="auto" w:line="240"/>
        <w:rPr>
          <w:rFonts w:ascii="Times New Roman" w:cs="Times New Roman" w:hAnsi="Times New Roman"/>
        </w:rPr>
      </w:pPr>
    </w:p>
    <w:p>
      <w:pPr>
        <w:pStyle w:val="style0"/>
        <w:spacing w:after="0" w:lineRule="auto" w:line="240"/>
        <w:rPr>
          <w:rFonts w:ascii="Times New Roman" w:cs="Times New Roman" w:hAnsi="Times New Roman"/>
        </w:rPr>
      </w:pPr>
    </w:p>
    <w:p>
      <w:pPr>
        <w:pStyle w:val="style0"/>
        <w:spacing w:after="0" w:lineRule="auto" w:line="240"/>
        <w:rPr>
          <w:rFonts w:ascii="Times New Roman" w:cs="Times New Roman" w:hAnsi="Times New Roman"/>
        </w:rPr>
      </w:pPr>
    </w:p>
    <w:p>
      <w:pPr>
        <w:pStyle w:val="style0"/>
        <w:spacing w:after="0" w:lineRule="auto" w:line="240"/>
        <w:rPr>
          <w:rFonts w:ascii="Times New Roman" w:cs="Times New Roman" w:hAnsi="Times New Roman"/>
        </w:rPr>
      </w:pPr>
    </w:p>
    <w:p>
      <w:pPr>
        <w:pStyle w:val="style0"/>
        <w:spacing w:after="0" w:lineRule="auto" w:line="240"/>
        <w:rPr>
          <w:rFonts w:ascii="Times New Roman" w:cs="Times New Roman" w:hAnsi="Times New Roman"/>
        </w:rPr>
      </w:pPr>
    </w:p>
    <w:p>
      <w:pPr>
        <w:pStyle w:val="style0"/>
        <w:spacing w:after="0" w:lineRule="auto" w:line="240"/>
        <w:rPr>
          <w:rFonts w:ascii="Times New Roman" w:cs="Times New Roman" w:hAnsi="Times New Roman"/>
        </w:rPr>
      </w:pPr>
    </w:p>
    <w:p>
      <w:pPr>
        <w:pStyle w:val="style0"/>
        <w:spacing w:after="0" w:lineRule="auto" w:line="240"/>
        <w:rPr>
          <w:rFonts w:ascii="Times New Roman" w:cs="Times New Roman" w:hAnsi="Times New Roman"/>
        </w:rPr>
      </w:pPr>
    </w:p>
    <w:p>
      <w:pPr>
        <w:pStyle w:val="style0"/>
        <w:spacing w:after="0" w:lineRule="auto" w:line="240"/>
        <w:rPr>
          <w:rFonts w:ascii="Times New Roman" w:cs="Times New Roman" w:hAnsi="Times New Roman"/>
        </w:rPr>
      </w:pPr>
    </w:p>
    <w:p>
      <w:pPr>
        <w:pStyle w:val="style0"/>
        <w:spacing w:after="0" w:lineRule="auto" w:line="240"/>
        <w:rPr>
          <w:rFonts w:ascii="Times New Roman" w:cs="Times New Roman" w:hAnsi="Times New Roman"/>
        </w:rPr>
      </w:pPr>
    </w:p>
    <w:p>
      <w:pPr>
        <w:pStyle w:val="style0"/>
        <w:spacing w:after="0" w:lineRule="auto" w:line="240"/>
        <w:rPr>
          <w:rFonts w:ascii="Times New Roman" w:cs="Times New Roman" w:hAnsi="Times New Roman"/>
        </w:rPr>
      </w:pPr>
    </w:p>
    <w:p>
      <w:pPr>
        <w:pStyle w:val="style0"/>
        <w:spacing w:after="0" w:lineRule="auto" w:line="240"/>
        <w:rPr>
          <w:rFonts w:ascii="Times New Roman" w:cs="Times New Roman" w:hAnsi="Times New Roman"/>
        </w:rPr>
      </w:pPr>
    </w:p>
    <w:p>
      <w:pPr>
        <w:pStyle w:val="style0"/>
        <w:spacing w:after="0" w:lineRule="auto" w:line="240"/>
        <w:rPr>
          <w:rFonts w:ascii="Times New Roman" w:cs="Times New Roman" w:hAnsi="Times New Roman"/>
        </w:rPr>
      </w:pPr>
    </w:p>
    <w:p>
      <w:pPr>
        <w:pStyle w:val="style0"/>
        <w:spacing w:after="0" w:lineRule="auto" w:line="240"/>
        <w:rPr>
          <w:rFonts w:ascii="Times New Roman" w:cs="Times New Roman" w:hAnsi="Times New Roman"/>
        </w:rPr>
      </w:pPr>
    </w:p>
    <w:p>
      <w:pPr>
        <w:pStyle w:val="style0"/>
        <w:spacing w:after="0" w:lineRule="auto" w:line="240"/>
        <w:rPr>
          <w:rFonts w:ascii="Times New Roman" w:cs="Times New Roman" w:hAnsi="Times New Roman"/>
        </w:rPr>
      </w:pPr>
    </w:p>
    <w:p>
      <w:pPr>
        <w:pStyle w:val="style0"/>
        <w:spacing w:after="0" w:lineRule="auto" w:line="240"/>
        <w:rPr>
          <w:rFonts w:ascii="Times New Roman" w:cs="Times New Roman" w:hAnsi="Times New Roman"/>
        </w:rPr>
      </w:pPr>
    </w:p>
    <w:p>
      <w:pPr>
        <w:pStyle w:val="style0"/>
        <w:spacing w:after="0" w:lineRule="auto" w:line="240"/>
        <w:rPr>
          <w:rFonts w:ascii="Times New Roman" w:cs="Times New Roman" w:hAnsi="Times New Roman"/>
        </w:rPr>
      </w:pPr>
    </w:p>
    <w:p>
      <w:pPr>
        <w:pStyle w:val="style0"/>
        <w:spacing w:after="0" w:lineRule="auto" w:line="240"/>
        <w:rPr>
          <w:rFonts w:ascii="Times New Roman" w:cs="Times New Roman" w:hAnsi="Times New Roman"/>
        </w:rPr>
      </w:pPr>
    </w:p>
    <w:p>
      <w:pPr>
        <w:pStyle w:val="style0"/>
        <w:spacing w:after="0" w:lineRule="auto" w:line="240"/>
        <w:rPr>
          <w:rFonts w:ascii="Times New Roman" w:cs="Times New Roman" w:hAnsi="Times New Roman"/>
        </w:rPr>
      </w:pPr>
    </w:p>
    <w:p>
      <w:pPr>
        <w:pStyle w:val="style0"/>
        <w:spacing w:after="0" w:lineRule="auto" w:line="240"/>
        <w:jc w:val="center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 xml:space="preserve">Програма одноденного </w:t>
      </w:r>
      <w:r>
        <w:rPr>
          <w:rFonts w:ascii="Times New Roman" w:cs="Times New Roman" w:hAnsi="Times New Roman"/>
          <w:b/>
          <w:sz w:val="28"/>
          <w:szCs w:val="28"/>
          <w:lang w:val="uk-UA"/>
        </w:rPr>
        <w:t xml:space="preserve">тренінгу </w:t>
      </w:r>
    </w:p>
    <w:p>
      <w:pPr>
        <w:pStyle w:val="style0"/>
        <w:spacing w:after="0" w:lineRule="auto" w:line="240"/>
        <w:jc w:val="center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>«</w:t>
      </w:r>
      <w:r>
        <w:rPr>
          <w:rFonts w:ascii="Times New Roman" w:cs="Times New Roman" w:hAnsi="Times New Roman"/>
          <w:b/>
          <w:sz w:val="28"/>
          <w:szCs w:val="28"/>
        </w:rPr>
        <w:t>Правила організації і техніки проведення щеплень відповідно до змін до Календаря профілактичних щеплень в Україні. Несприятливі події після імунізації та навички надання невідкладної допомоги</w:t>
      </w:r>
      <w:r>
        <w:rPr>
          <w:rFonts w:ascii="Times New Roman" w:cs="Times New Roman" w:hAnsi="Times New Roman"/>
          <w:b/>
          <w:sz w:val="28"/>
          <w:szCs w:val="28"/>
        </w:rPr>
        <w:t>»</w:t>
      </w:r>
    </w:p>
    <w:p>
      <w:pPr>
        <w:pStyle w:val="style0"/>
        <w:spacing w:after="0" w:lineRule="auto" w:line="240"/>
        <w:jc w:val="center"/>
        <w:rPr>
          <w:rFonts w:ascii="Times New Roman" w:cs="Times New Roman" w:hAnsi="Times New Roman"/>
          <w:b/>
          <w:sz w:val="28"/>
          <w:szCs w:val="28"/>
        </w:rPr>
      </w:pPr>
    </w:p>
    <w:tbl>
      <w:tblPr>
        <w:tblStyle w:val="style4112"/>
        <w:tblW w:w="0" w:type="auto"/>
        <w:tblLook w:val="04A0" w:firstRow="1" w:lastRow="0" w:firstColumn="1" w:lastColumn="0" w:noHBand="0" w:noVBand="1"/>
      </w:tblPr>
      <w:tblGrid>
        <w:gridCol w:w="1975"/>
        <w:gridCol w:w="7374"/>
      </w:tblGrid>
      <w:tr>
        <w:trPr/>
        <w:tc>
          <w:tcPr>
            <w:tcW w:w="1975" w:type="dxa"/>
            <w:tcBorders/>
          </w:tcPr>
          <w:p>
            <w:pPr>
              <w:pStyle w:val="style0"/>
              <w:tabs>
                <w:tab w:val="center" w:leader="none" w:pos="4677"/>
                <w:tab w:val="right" w:leader="none" w:pos="9355"/>
              </w:tabs>
              <w:rPr>
                <w:rFonts w:ascii="Times New Roman" w:hAnsi="Times New Roman"/>
                <w:b/>
                <w:color w:val="4472c4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08:30–0</w:t>
            </w:r>
            <w:r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9:00</w:t>
            </w:r>
          </w:p>
        </w:tc>
        <w:tc>
          <w:tcPr>
            <w:tcW w:w="7374" w:type="dxa"/>
            <w:tcBorders/>
          </w:tcPr>
          <w:p>
            <w:pPr>
              <w:pStyle w:val="style0"/>
              <w:tabs>
                <w:tab w:val="center" w:leader="none" w:pos="4677"/>
                <w:tab w:val="right" w:leader="none" w:pos="9355"/>
              </w:tabs>
              <w:rPr>
                <w:rFonts w:ascii="Times New Roman" w:hAnsi="Times New Roman"/>
                <w:b/>
                <w:color w:val="4472c4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Відкриття. Організаційні аспекти. Вітальне слово.</w:t>
            </w:r>
          </w:p>
        </w:tc>
      </w:tr>
      <w:tr>
        <w:tblPrEx/>
        <w:trPr/>
        <w:tc>
          <w:tcPr>
            <w:tcW w:w="1975" w:type="dxa"/>
            <w:tcBorders/>
          </w:tcPr>
          <w:p>
            <w:pPr>
              <w:pStyle w:val="style0"/>
              <w:tabs>
                <w:tab w:val="center" w:leader="none" w:pos="4677"/>
                <w:tab w:val="right" w:leader="none" w:pos="9355"/>
              </w:tabs>
              <w:rPr>
                <w:rFonts w:ascii="Times New Roman" w:hAnsi="Times New Roman"/>
                <w:b/>
                <w:color w:val="4472c4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09:0</w:t>
            </w:r>
            <w:r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–09:30</w:t>
            </w:r>
          </w:p>
        </w:tc>
        <w:tc>
          <w:tcPr>
            <w:tcW w:w="7374" w:type="dxa"/>
            <w:tcBorders/>
          </w:tcPr>
          <w:p>
            <w:pPr>
              <w:pStyle w:val="style0"/>
              <w:tabs>
                <w:tab w:val="center" w:leader="none" w:pos="4677"/>
                <w:tab w:val="right" w:leader="none" w:pos="9355"/>
              </w:tabs>
              <w:rPr>
                <w:rFonts w:ascii="Times New Roman" w:hAnsi="Times New Roman"/>
                <w:b/>
                <w:color w:val="4472c4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Національні стратегії та огляд плану впровадження змін до Календаря профілактичних щеплень затвердженого Наказом МОЗ України від 5 березня 2025 року № 396</w:t>
            </w:r>
          </w:p>
        </w:tc>
      </w:tr>
      <w:tr>
        <w:tblPrEx/>
        <w:trPr/>
        <w:tc>
          <w:tcPr>
            <w:tcW w:w="1975" w:type="dxa"/>
            <w:tcBorders/>
          </w:tcPr>
          <w:p>
            <w:pPr>
              <w:pStyle w:val="style0"/>
              <w:tabs>
                <w:tab w:val="center" w:leader="none" w:pos="4677"/>
                <w:tab w:val="right" w:leader="none" w:pos="9355"/>
              </w:tabs>
              <w:rPr>
                <w:rFonts w:ascii="Times New Roman" w:hAnsi="Times New Roman"/>
                <w:b/>
                <w:color w:val="4472c4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09:30-09:40</w:t>
            </w:r>
          </w:p>
        </w:tc>
        <w:tc>
          <w:tcPr>
            <w:tcW w:w="7374" w:type="dxa"/>
            <w:tcBorders/>
          </w:tcPr>
          <w:p>
            <w:pPr>
              <w:pStyle w:val="style0"/>
              <w:tabs>
                <w:tab w:val="center" w:leader="none" w:pos="4677"/>
                <w:tab w:val="right" w:leader="none" w:pos="9355"/>
              </w:tabs>
              <w:rPr>
                <w:rFonts w:ascii="Times New Roman" w:hAnsi="Times New Roman"/>
                <w:b/>
                <w:color w:val="4472c4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Обговорення</w:t>
            </w:r>
          </w:p>
        </w:tc>
      </w:tr>
      <w:tr>
        <w:tblPrEx/>
        <w:trPr/>
        <w:tc>
          <w:tcPr>
            <w:tcW w:w="1975" w:type="dxa"/>
            <w:tcBorders/>
          </w:tcPr>
          <w:p>
            <w:pPr>
              <w:pStyle w:val="style0"/>
              <w:tabs>
                <w:tab w:val="center" w:leader="none" w:pos="4677"/>
                <w:tab w:val="right" w:leader="none" w:pos="9355"/>
              </w:tabs>
              <w:rPr>
                <w:rFonts w:ascii="Times New Roman" w:hAnsi="Times New Roman"/>
                <w:b/>
                <w:color w:val="4472c4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09:40–10:20</w:t>
            </w:r>
          </w:p>
        </w:tc>
        <w:tc>
          <w:tcPr>
            <w:tcW w:w="7374" w:type="dxa"/>
            <w:tcBorders/>
          </w:tcPr>
          <w:p>
            <w:pPr>
              <w:pStyle w:val="style0"/>
              <w:tabs>
                <w:tab w:val="center" w:leader="none" w:pos="4677"/>
                <w:tab w:val="right" w:leader="none" w:pos="9355"/>
              </w:tabs>
              <w:rPr>
                <w:rFonts w:ascii="Times New Roman" w:hAnsi="Times New Roman"/>
                <w:b/>
                <w:color w:val="4472c4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1e4c77"/>
                <w:sz w:val="24"/>
                <w:szCs w:val="24"/>
                <w:lang w:val="uk-UA"/>
              </w:rPr>
              <w:t>Основні оновлення Календаря профілактичних щеплень</w:t>
            </w:r>
          </w:p>
        </w:tc>
      </w:tr>
      <w:tr>
        <w:tblPrEx/>
        <w:trPr/>
        <w:tc>
          <w:tcPr>
            <w:tcW w:w="1975" w:type="dxa"/>
            <w:tcBorders/>
          </w:tcPr>
          <w:p>
            <w:pPr>
              <w:pStyle w:val="style0"/>
              <w:tabs>
                <w:tab w:val="center" w:leader="none" w:pos="4677"/>
                <w:tab w:val="right" w:leader="none" w:pos="9355"/>
              </w:tabs>
              <w:rPr>
                <w:rFonts w:ascii="Times New Roman" w:hAnsi="Times New Roman"/>
                <w:b/>
                <w:color w:val="4472c4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10:20–10:30</w:t>
            </w:r>
          </w:p>
        </w:tc>
        <w:tc>
          <w:tcPr>
            <w:tcW w:w="7374" w:type="dxa"/>
            <w:tcBorders/>
          </w:tcPr>
          <w:p>
            <w:pPr>
              <w:pStyle w:val="style0"/>
              <w:tabs>
                <w:tab w:val="center" w:leader="none" w:pos="4677"/>
                <w:tab w:val="right" w:leader="none" w:pos="9355"/>
              </w:tabs>
              <w:rPr>
                <w:rFonts w:ascii="Times New Roman" w:hAnsi="Times New Roman"/>
                <w:b/>
                <w:color w:val="4472c4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Обговорення</w:t>
            </w:r>
          </w:p>
        </w:tc>
      </w:tr>
      <w:tr>
        <w:tblPrEx/>
        <w:trPr/>
        <w:tc>
          <w:tcPr>
            <w:tcW w:w="1975" w:type="dxa"/>
            <w:tcBorders/>
          </w:tcPr>
          <w:p>
            <w:pPr>
              <w:pStyle w:val="style0"/>
              <w:tabs>
                <w:tab w:val="center" w:leader="none" w:pos="4677"/>
                <w:tab w:val="right" w:leader="none" w:pos="9355"/>
              </w:tabs>
              <w:rPr>
                <w:rFonts w:ascii="Times New Roman" w:hAnsi="Times New Roman"/>
                <w:b/>
                <w:color w:val="4472c4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10:30–11:20</w:t>
            </w:r>
          </w:p>
        </w:tc>
        <w:tc>
          <w:tcPr>
            <w:tcW w:w="7374" w:type="dxa"/>
            <w:tcBorders/>
          </w:tcPr>
          <w:p>
            <w:pPr>
              <w:pStyle w:val="style0"/>
              <w:tabs>
                <w:tab w:val="center" w:leader="none" w:pos="4677"/>
                <w:tab w:val="right" w:leader="none" w:pos="9355"/>
              </w:tabs>
              <w:rPr>
                <w:rFonts w:ascii="Times New Roman" w:hAnsi="Times New Roman"/>
                <w:b/>
                <w:color w:val="4472c4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1e4c77"/>
                <w:sz w:val="24"/>
                <w:szCs w:val="24"/>
                <w:lang w:val="uk-UA"/>
              </w:rPr>
              <w:t>Вакцина проти вірусу папіломи людини (ВПЛ): епідеміологічні відомості, вакцини, схеми застосування та ефективність, безпека вакцин, способи використання, протипоказання</w:t>
            </w:r>
          </w:p>
        </w:tc>
      </w:tr>
      <w:tr>
        <w:tblPrEx/>
        <w:trPr/>
        <w:tc>
          <w:tcPr>
            <w:tcW w:w="1975" w:type="dxa"/>
            <w:tcBorders/>
          </w:tcPr>
          <w:p>
            <w:pPr>
              <w:pStyle w:val="style0"/>
              <w:tabs>
                <w:tab w:val="center" w:leader="none" w:pos="4677"/>
                <w:tab w:val="right" w:leader="none" w:pos="9355"/>
              </w:tabs>
              <w:rPr>
                <w:rFonts w:ascii="Times New Roman" w:hAnsi="Times New Roman"/>
                <w:b/>
                <w:color w:val="4472c4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11:20–11:30</w:t>
            </w:r>
          </w:p>
        </w:tc>
        <w:tc>
          <w:tcPr>
            <w:tcW w:w="7374" w:type="dxa"/>
            <w:tcBorders/>
          </w:tcPr>
          <w:p>
            <w:pPr>
              <w:pStyle w:val="style0"/>
              <w:tabs>
                <w:tab w:val="center" w:leader="none" w:pos="4677"/>
                <w:tab w:val="right" w:leader="none" w:pos="9355"/>
              </w:tabs>
              <w:rPr>
                <w:rFonts w:ascii="Times New Roman" w:hAnsi="Times New Roman"/>
                <w:b/>
                <w:color w:val="4472c4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Обговорення</w:t>
            </w:r>
          </w:p>
        </w:tc>
      </w:tr>
      <w:tr>
        <w:tblPrEx/>
        <w:trPr/>
        <w:tc>
          <w:tcPr>
            <w:tcW w:w="1975" w:type="dxa"/>
            <w:tcBorders/>
          </w:tcPr>
          <w:p>
            <w:pPr>
              <w:pStyle w:val="style0"/>
              <w:tabs>
                <w:tab w:val="center" w:leader="none" w:pos="4677"/>
                <w:tab w:val="right" w:leader="none" w:pos="9355"/>
              </w:tabs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11:30-11:55</w:t>
            </w:r>
          </w:p>
        </w:tc>
        <w:tc>
          <w:tcPr>
            <w:tcW w:w="7374" w:type="dxa"/>
            <w:tcBorders/>
          </w:tcPr>
          <w:p>
            <w:pPr>
              <w:pStyle w:val="style0"/>
              <w:tabs>
                <w:tab w:val="center" w:leader="none" w:pos="4677"/>
                <w:tab w:val="right" w:leader="none" w:pos="9355"/>
              </w:tabs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Перерва</w:t>
            </w:r>
          </w:p>
        </w:tc>
      </w:tr>
      <w:tr>
        <w:tblPrEx/>
        <w:trPr/>
        <w:tc>
          <w:tcPr>
            <w:tcW w:w="1975" w:type="dxa"/>
            <w:tcBorders/>
          </w:tcPr>
          <w:p>
            <w:pPr>
              <w:pStyle w:val="style0"/>
              <w:tabs>
                <w:tab w:val="center" w:leader="none" w:pos="4677"/>
                <w:tab w:val="right" w:leader="none" w:pos="9355"/>
              </w:tabs>
              <w:rPr>
                <w:rFonts w:ascii="Times New Roman" w:hAnsi="Times New Roman"/>
                <w:b/>
                <w:color w:val="4472c4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11:</w:t>
            </w:r>
            <w:r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–12:</w:t>
            </w:r>
            <w:r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25</w:t>
            </w:r>
          </w:p>
        </w:tc>
        <w:tc>
          <w:tcPr>
            <w:tcW w:w="7374" w:type="dxa"/>
            <w:tcBorders/>
          </w:tcPr>
          <w:p>
            <w:pPr>
              <w:pStyle w:val="style0"/>
              <w:tabs>
                <w:tab w:val="center" w:leader="none" w:pos="4677"/>
                <w:tab w:val="right" w:leader="none" w:pos="9355"/>
              </w:tabs>
              <w:rPr>
                <w:rFonts w:ascii="Times New Roman" w:hAnsi="Times New Roman"/>
                <w:b/>
                <w:color w:val="4472c4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 xml:space="preserve">Комунікація з батьками та опікунами щодо щеплень </w:t>
            </w:r>
          </w:p>
        </w:tc>
      </w:tr>
      <w:tr>
        <w:tblPrEx/>
        <w:trPr/>
        <w:tc>
          <w:tcPr>
            <w:tcW w:w="1975" w:type="dxa"/>
            <w:tcBorders/>
          </w:tcPr>
          <w:p>
            <w:pPr>
              <w:pStyle w:val="style0"/>
              <w:tabs>
                <w:tab w:val="center" w:leader="none" w:pos="4677"/>
                <w:tab w:val="right" w:leader="none" w:pos="9355"/>
              </w:tabs>
              <w:rPr>
                <w:rFonts w:ascii="Times New Roman" w:hAnsi="Times New Roman"/>
                <w:b/>
                <w:color w:val="4472c4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12:</w:t>
            </w:r>
            <w:r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25</w:t>
            </w:r>
            <w:r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–13:</w:t>
            </w:r>
            <w:r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0</w:t>
            </w:r>
          </w:p>
        </w:tc>
        <w:tc>
          <w:tcPr>
            <w:tcW w:w="7374" w:type="dxa"/>
            <w:tcBorders/>
          </w:tcPr>
          <w:p>
            <w:pPr>
              <w:pStyle w:val="style0"/>
              <w:tabs>
                <w:tab w:val="center" w:leader="none" w:pos="4677"/>
                <w:tab w:val="right" w:leader="none" w:pos="9355"/>
              </w:tabs>
              <w:rPr>
                <w:rFonts w:ascii="Times New Roman" w:hAnsi="Times New Roman"/>
                <w:b/>
                <w:color w:val="4472c4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 xml:space="preserve">Несприятливі події після імунізації: класифікація, особливості, звітність та подання карт-повідомлень в рамках здійснення </w:t>
            </w:r>
            <w:r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фармаконагляду</w:t>
            </w:r>
          </w:p>
        </w:tc>
      </w:tr>
      <w:tr>
        <w:tblPrEx/>
        <w:trPr/>
        <w:tc>
          <w:tcPr>
            <w:tcW w:w="1975" w:type="dxa"/>
            <w:tcBorders/>
          </w:tcPr>
          <w:p>
            <w:pPr>
              <w:pStyle w:val="style0"/>
              <w:tabs>
                <w:tab w:val="center" w:leader="none" w:pos="4677"/>
                <w:tab w:val="right" w:leader="none" w:pos="9355"/>
              </w:tabs>
              <w:rPr>
                <w:rFonts w:ascii="Times New Roman" w:hAnsi="Times New Roman"/>
                <w:b/>
                <w:color w:val="4472c4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13:</w:t>
            </w:r>
            <w:r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0–13:</w:t>
            </w:r>
            <w:r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0</w:t>
            </w:r>
          </w:p>
        </w:tc>
        <w:tc>
          <w:tcPr>
            <w:tcW w:w="7374" w:type="dxa"/>
            <w:tcBorders/>
          </w:tcPr>
          <w:p>
            <w:pPr>
              <w:pStyle w:val="style0"/>
              <w:tabs>
                <w:tab w:val="center" w:leader="none" w:pos="4677"/>
                <w:tab w:val="right" w:leader="none" w:pos="9355"/>
              </w:tabs>
              <w:rPr>
                <w:rFonts w:ascii="Times New Roman" w:hAnsi="Times New Roman"/>
                <w:b/>
                <w:color w:val="4472c4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Обговорення</w:t>
            </w:r>
          </w:p>
        </w:tc>
      </w:tr>
      <w:tr>
        <w:tblPrEx/>
        <w:trPr/>
        <w:tc>
          <w:tcPr>
            <w:tcW w:w="1975" w:type="dxa"/>
            <w:tcBorders/>
          </w:tcPr>
          <w:p>
            <w:pPr>
              <w:pStyle w:val="style0"/>
              <w:tabs>
                <w:tab w:val="center" w:leader="none" w:pos="4677"/>
                <w:tab w:val="right" w:leader="none" w:pos="9355"/>
              </w:tabs>
              <w:rPr>
                <w:rFonts w:ascii="Times New Roman" w:hAnsi="Times New Roman"/>
                <w:b/>
                <w:color w:val="4472c4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13:</w:t>
            </w:r>
            <w:r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0–1</w:t>
            </w:r>
            <w:r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:</w:t>
            </w:r>
            <w:r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0</w:t>
            </w:r>
          </w:p>
        </w:tc>
        <w:tc>
          <w:tcPr>
            <w:tcW w:w="7374" w:type="dxa"/>
            <w:tcBorders/>
          </w:tcPr>
          <w:p>
            <w:pPr>
              <w:pStyle w:val="style0"/>
              <w:keepNext/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Діагностика невідкладних станів та перша допомога:</w:t>
            </w:r>
          </w:p>
          <w:p>
            <w:pPr>
              <w:pStyle w:val="style0"/>
              <w:keepNext/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- реакції, пов’язані з відповіддю на стрес спричинений імунізацією – симптоми станів;</w:t>
            </w:r>
          </w:p>
          <w:p>
            <w:pPr>
              <w:pStyle w:val="style0"/>
              <w:keepNext/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- симптоми анафілаксії;</w:t>
            </w:r>
          </w:p>
          <w:p>
            <w:pPr>
              <w:pStyle w:val="style0"/>
              <w:keepNext/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- диференціальна діагностика;</w:t>
            </w:r>
          </w:p>
          <w:p>
            <w:pPr>
              <w:pStyle w:val="style0"/>
              <w:tabs>
                <w:tab w:val="center" w:leader="none" w:pos="4677"/>
                <w:tab w:val="right" w:leader="none" w:pos="9355"/>
              </w:tabs>
              <w:rPr>
                <w:rFonts w:ascii="Times New Roman" w:hAnsi="Times New Roman"/>
                <w:b/>
                <w:color w:val="4472c4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- склад аптечки для надання невідкладної допомоги.</w:t>
            </w:r>
          </w:p>
        </w:tc>
      </w:tr>
      <w:tr>
        <w:tblPrEx/>
        <w:trPr/>
        <w:tc>
          <w:tcPr>
            <w:tcW w:w="1975" w:type="dxa"/>
            <w:tcBorders/>
          </w:tcPr>
          <w:p>
            <w:pPr>
              <w:pStyle w:val="style0"/>
              <w:tabs>
                <w:tab w:val="center" w:leader="none" w:pos="4677"/>
                <w:tab w:val="right" w:leader="none" w:pos="9355"/>
              </w:tabs>
              <w:rPr>
                <w:rFonts w:ascii="Times New Roman" w:hAnsi="Times New Roman"/>
                <w:b/>
                <w:color w:val="4472c4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:</w:t>
            </w:r>
            <w:r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0–15:</w:t>
            </w:r>
            <w:r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0</w:t>
            </w:r>
          </w:p>
        </w:tc>
        <w:tc>
          <w:tcPr>
            <w:tcW w:w="7374" w:type="dxa"/>
            <w:tcBorders/>
          </w:tcPr>
          <w:p>
            <w:pPr>
              <w:pStyle w:val="style0"/>
              <w:tabs>
                <w:tab w:val="center" w:leader="none" w:pos="4677"/>
                <w:tab w:val="right" w:leader="none" w:pos="9355"/>
              </w:tabs>
              <w:rPr>
                <w:rFonts w:ascii="Times New Roman" w:hAnsi="Times New Roman"/>
                <w:b/>
                <w:color w:val="4472c4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Ситуаційні задачі - діагностика невідкладних станів та перша допомога</w:t>
            </w:r>
          </w:p>
        </w:tc>
      </w:tr>
      <w:bookmarkStart w:id="0" w:name="_GoBack"/>
      <w:bookmarkEnd w:id="0"/>
      <w:tr>
        <w:tblPrEx/>
        <w:trPr/>
        <w:tc>
          <w:tcPr>
            <w:tcW w:w="1975" w:type="dxa"/>
            <w:tcBorders/>
          </w:tcPr>
          <w:p>
            <w:pPr>
              <w:pStyle w:val="style0"/>
              <w:tabs>
                <w:tab w:val="center" w:leader="none" w:pos="4677"/>
                <w:tab w:val="right" w:leader="none" w:pos="9355"/>
              </w:tabs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15:10-15:30</w:t>
            </w:r>
          </w:p>
        </w:tc>
        <w:tc>
          <w:tcPr>
            <w:tcW w:w="7374" w:type="dxa"/>
            <w:tcBorders/>
          </w:tcPr>
          <w:p>
            <w:pPr>
              <w:pStyle w:val="style0"/>
              <w:tabs>
                <w:tab w:val="center" w:leader="none" w:pos="4677"/>
                <w:tab w:val="right" w:leader="none" w:pos="9355"/>
              </w:tabs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Перерва</w:t>
            </w:r>
          </w:p>
        </w:tc>
      </w:tr>
      <w:tr>
        <w:tblPrEx/>
        <w:trPr/>
        <w:tc>
          <w:tcPr>
            <w:tcW w:w="1975" w:type="dxa"/>
            <w:tcBorders/>
          </w:tcPr>
          <w:p>
            <w:pPr>
              <w:pStyle w:val="style0"/>
              <w:tabs>
                <w:tab w:val="center" w:leader="none" w:pos="4677"/>
                <w:tab w:val="right" w:leader="none" w:pos="9355"/>
              </w:tabs>
              <w:rPr>
                <w:rFonts w:ascii="Times New Roman" w:hAnsi="Times New Roman"/>
                <w:b/>
                <w:color w:val="4472c4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15:30–16:15</w:t>
            </w:r>
          </w:p>
        </w:tc>
        <w:tc>
          <w:tcPr>
            <w:tcW w:w="7374" w:type="dxa"/>
            <w:tcBorders/>
          </w:tcPr>
          <w:p>
            <w:pPr>
              <w:pStyle w:val="style0"/>
              <w:tabs>
                <w:tab w:val="center" w:leader="none" w:pos="4677"/>
                <w:tab w:val="right" w:leader="none" w:pos="9355"/>
              </w:tabs>
              <w:rPr>
                <w:rFonts w:ascii="Times New Roman" w:hAnsi="Times New Roman"/>
                <w:b/>
                <w:color w:val="4472c4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Реєстрація даних про проведені щеплення в медично-обліковій документації та ЕСОЗ</w:t>
            </w:r>
          </w:p>
        </w:tc>
      </w:tr>
      <w:tr>
        <w:tblPrEx/>
        <w:trPr/>
        <w:tc>
          <w:tcPr>
            <w:tcW w:w="1975" w:type="dxa"/>
            <w:tcBorders/>
          </w:tcPr>
          <w:p>
            <w:pPr>
              <w:pStyle w:val="style0"/>
              <w:tabs>
                <w:tab w:val="center" w:leader="none" w:pos="4677"/>
                <w:tab w:val="right" w:leader="none" w:pos="9355"/>
              </w:tabs>
              <w:rPr>
                <w:rFonts w:ascii="Times New Roman" w:hAnsi="Times New Roman"/>
                <w:b/>
                <w:color w:val="4472c4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16:15–16:25</w:t>
            </w:r>
          </w:p>
        </w:tc>
        <w:tc>
          <w:tcPr>
            <w:tcW w:w="7374" w:type="dxa"/>
            <w:tcBorders/>
          </w:tcPr>
          <w:p>
            <w:pPr>
              <w:pStyle w:val="style0"/>
              <w:tabs>
                <w:tab w:val="center" w:leader="none" w:pos="4677"/>
                <w:tab w:val="right" w:leader="none" w:pos="9355"/>
              </w:tabs>
              <w:rPr>
                <w:rFonts w:ascii="Times New Roman" w:hAnsi="Times New Roman"/>
                <w:b/>
                <w:color w:val="4472c4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Обговорення</w:t>
            </w:r>
          </w:p>
        </w:tc>
      </w:tr>
      <w:tr>
        <w:tblPrEx/>
        <w:trPr/>
        <w:tc>
          <w:tcPr>
            <w:tcW w:w="1975" w:type="dxa"/>
            <w:tcBorders/>
          </w:tcPr>
          <w:p>
            <w:pPr>
              <w:pStyle w:val="style0"/>
              <w:tabs>
                <w:tab w:val="center" w:leader="none" w:pos="4677"/>
                <w:tab w:val="right" w:leader="none" w:pos="9355"/>
              </w:tabs>
              <w:rPr>
                <w:rFonts w:ascii="Times New Roman" w:hAnsi="Times New Roman"/>
                <w:b/>
                <w:color w:val="4472c4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16:25–16:55</w:t>
            </w:r>
          </w:p>
        </w:tc>
        <w:tc>
          <w:tcPr>
            <w:tcW w:w="7374" w:type="dxa"/>
            <w:tcBorders/>
          </w:tcPr>
          <w:p>
            <w:pPr>
              <w:pStyle w:val="style0"/>
              <w:tabs>
                <w:tab w:val="center" w:leader="none" w:pos="4677"/>
                <w:tab w:val="right" w:leader="none" w:pos="9355"/>
              </w:tabs>
              <w:rPr>
                <w:rFonts w:ascii="Times New Roman" w:hAnsi="Times New Roman"/>
                <w:b/>
                <w:color w:val="4472c4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 xml:space="preserve">Організація </w:t>
            </w:r>
            <w:r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вакцинальної</w:t>
            </w:r>
            <w:r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 xml:space="preserve"> сесії</w:t>
            </w:r>
          </w:p>
        </w:tc>
      </w:tr>
      <w:tr>
        <w:tblPrEx/>
        <w:trPr/>
        <w:tc>
          <w:tcPr>
            <w:tcW w:w="1975" w:type="dxa"/>
            <w:tcBorders/>
          </w:tcPr>
          <w:p>
            <w:pPr>
              <w:pStyle w:val="style0"/>
              <w:tabs>
                <w:tab w:val="center" w:leader="none" w:pos="4677"/>
                <w:tab w:val="right" w:leader="none" w:pos="9355"/>
              </w:tabs>
              <w:rPr>
                <w:rFonts w:ascii="Times New Roman" w:hAnsi="Times New Roman"/>
                <w:b/>
                <w:color w:val="4472c4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16:55–17:30</w:t>
            </w:r>
          </w:p>
        </w:tc>
        <w:tc>
          <w:tcPr>
            <w:tcW w:w="7374" w:type="dxa"/>
            <w:tcBorders/>
          </w:tcPr>
          <w:p>
            <w:pPr>
              <w:pStyle w:val="style0"/>
              <w:tabs>
                <w:tab w:val="center" w:leader="none" w:pos="4677"/>
                <w:tab w:val="right" w:leader="none" w:pos="9355"/>
              </w:tabs>
              <w:rPr>
                <w:rFonts w:ascii="Times New Roman" w:hAnsi="Times New Roman"/>
                <w:b/>
                <w:color w:val="4472c4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 xml:space="preserve">Фінальне тестування, форма </w:t>
            </w:r>
            <w:r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зворотнього</w:t>
            </w:r>
            <w:r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 xml:space="preserve"> зв’язку та підбиття підсумків</w:t>
            </w:r>
          </w:p>
        </w:tc>
      </w:tr>
    </w:tbl>
    <w:p>
      <w:pPr>
        <w:pStyle w:val="style0"/>
        <w:spacing w:after="0" w:lineRule="auto" w:line="240"/>
        <w:jc w:val="center"/>
        <w:rPr>
          <w:rFonts w:ascii="Times New Roman" w:cs="Times New Roman" w:hAnsi="Times New Roman"/>
          <w:sz w:val="28"/>
          <w:szCs w:val="28"/>
        </w:rPr>
      </w:pPr>
    </w:p>
    <w:sectPr>
      <w:footerReference w:type="default" r:id="rId4"/>
      <w:pgSz w:w="11910" w:h="16840" w:orient="portrait"/>
      <w:pgMar w:top="567" w:right="850" w:bottom="1134" w:left="1701" w:header="0" w:footer="709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cc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000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0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Calibri Light"/>
    <w:panose1 w:val="020f0302020000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jc w:val="center"/>
      <w:rPr/>
    </w:pPr>
    <w:r>
      <w:rPr/>
      <w:fldChar w:fldCharType="begin"/>
    </w:r>
    <w:r>
      <w:instrText>PAGE   \* MERGEFORMAT</w:instrText>
    </w:r>
    <w:r>
      <w:rPr/>
      <w:fldChar w:fldCharType="separate"/>
    </w:r>
    <w:r>
      <w:rPr>
        <w:noProof/>
      </w:rPr>
      <w:t>6</w:t>
    </w:r>
    <w:r>
      <w:rPr/>
      <w:fldChar w:fldCharType="end"/>
    </w:r>
  </w:p>
  <w:p>
    <w:pPr>
      <w:pStyle w:val="style66"/>
      <w:spacing w:lineRule="auto" w:line="14"/>
      <w:rPr>
        <w:sz w:val="20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FFFFFFFF"/>
    <w:lvl w:ilvl="0" w:tplc="3ACAC11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0000001"/>
    <w:multiLevelType w:val="hybridMultilevel"/>
    <w:tmpl w:val="FFFFFFFF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kern w:val="2"/>
        <w:sz w:val="24"/>
        <w:szCs w:val="24"/>
        <w:lang w:val="uk-UA" w:bidi="ar-SA" w:eastAsia="en-US"/>
        <w14:ligatures xmlns:w14="http://schemas.microsoft.com/office/word/2010/wordml" w14:val="standardContextual"/>
      </w:rPr>
    </w:rPrDefault>
    <w:pPrDefault>
      <w:pPr>
        <w:spacing w:after="160" w:lineRule="auto" w:line="278"/>
      </w:pPr>
    </w:pPrDefault>
  </w:docDefaults>
  <w:style w:type="paragraph" w:default="1" w:styleId="style0">
    <w:name w:val="Normal"/>
    <w:next w:val="style0"/>
    <w:qFormat/>
    <w:pPr/>
  </w:style>
  <w:style w:type="paragraph" w:styleId="style1">
    <w:name w:val="heading 1"/>
    <w:basedOn w:val="style0"/>
    <w:next w:val="style0"/>
    <w:link w:val="style4097"/>
    <w:qFormat/>
    <w:uiPriority w:val="9"/>
    <w:pPr>
      <w:keepNext/>
      <w:keepLines/>
      <w:spacing w:before="360" w:after="80"/>
      <w:outlineLvl w:val="0"/>
    </w:pPr>
    <w:rPr>
      <w:rFonts w:ascii="Calibri Light" w:cs="宋体" w:eastAsia="宋体" w:hAnsi="Calibri Light"/>
      <w:color w:val="2f5496"/>
      <w:sz w:val="40"/>
      <w:szCs w:val="40"/>
    </w:rPr>
  </w:style>
  <w:style w:type="paragraph" w:styleId="style2">
    <w:name w:val="heading 2"/>
    <w:basedOn w:val="style0"/>
    <w:next w:val="style0"/>
    <w:link w:val="style4098"/>
    <w:qFormat/>
    <w:uiPriority w:val="9"/>
    <w:pPr>
      <w:keepNext/>
      <w:keepLines/>
      <w:spacing w:before="160" w:after="80"/>
      <w:outlineLvl w:val="1"/>
    </w:pPr>
    <w:rPr>
      <w:rFonts w:ascii="Calibri Light" w:cs="宋体" w:eastAsia="宋体" w:hAnsi="Calibri Light"/>
      <w:color w:val="2f5496"/>
      <w:sz w:val="32"/>
      <w:szCs w:val="32"/>
    </w:rPr>
  </w:style>
  <w:style w:type="paragraph" w:styleId="style3">
    <w:name w:val="heading 3"/>
    <w:basedOn w:val="style0"/>
    <w:next w:val="style0"/>
    <w:link w:val="style4099"/>
    <w:qFormat/>
    <w:uiPriority w:val="9"/>
    <w:pPr>
      <w:keepNext/>
      <w:keepLines/>
      <w:spacing w:before="160" w:after="80"/>
      <w:outlineLvl w:val="2"/>
    </w:pPr>
    <w:rPr>
      <w:rFonts w:cs="宋体" w:eastAsia="宋体"/>
      <w:color w:val="2f5496"/>
      <w:sz w:val="28"/>
      <w:szCs w:val="28"/>
    </w:rPr>
  </w:style>
  <w:style w:type="paragraph" w:styleId="style4">
    <w:name w:val="heading 4"/>
    <w:basedOn w:val="style0"/>
    <w:next w:val="style0"/>
    <w:link w:val="style4100"/>
    <w:qFormat/>
    <w:uiPriority w:val="9"/>
    <w:pPr>
      <w:keepNext/>
      <w:keepLines/>
      <w:spacing w:before="80" w:after="40"/>
      <w:outlineLvl w:val="3"/>
    </w:pPr>
    <w:rPr>
      <w:rFonts w:cs="宋体" w:eastAsia="宋体"/>
      <w:i/>
      <w:iCs/>
      <w:color w:val="2f5496"/>
    </w:rPr>
  </w:style>
  <w:style w:type="paragraph" w:styleId="style5">
    <w:name w:val="heading 5"/>
    <w:basedOn w:val="style0"/>
    <w:next w:val="style0"/>
    <w:link w:val="style4101"/>
    <w:qFormat/>
    <w:uiPriority w:val="9"/>
    <w:pPr>
      <w:keepNext/>
      <w:keepLines/>
      <w:spacing w:before="80" w:after="40"/>
      <w:outlineLvl w:val="4"/>
    </w:pPr>
    <w:rPr>
      <w:rFonts w:cs="宋体" w:eastAsia="宋体"/>
      <w:color w:val="2f5496"/>
    </w:rPr>
  </w:style>
  <w:style w:type="paragraph" w:styleId="style6">
    <w:name w:val="heading 6"/>
    <w:basedOn w:val="style0"/>
    <w:next w:val="style0"/>
    <w:link w:val="style4102"/>
    <w:qFormat/>
    <w:uiPriority w:val="9"/>
    <w:pPr>
      <w:keepNext/>
      <w:keepLines/>
      <w:spacing w:before="40" w:after="0"/>
      <w:outlineLvl w:val="5"/>
    </w:pPr>
    <w:rPr>
      <w:rFonts w:cs="宋体" w:eastAsia="宋体"/>
      <w:i/>
      <w:iCs/>
      <w:color w:val="595959"/>
    </w:rPr>
  </w:style>
  <w:style w:type="paragraph" w:styleId="style7">
    <w:name w:val="heading 7"/>
    <w:basedOn w:val="style0"/>
    <w:next w:val="style0"/>
    <w:link w:val="style4103"/>
    <w:qFormat/>
    <w:uiPriority w:val="9"/>
    <w:pPr>
      <w:keepNext/>
      <w:keepLines/>
      <w:spacing w:before="40" w:after="0"/>
      <w:outlineLvl w:val="6"/>
    </w:pPr>
    <w:rPr>
      <w:rFonts w:cs="宋体" w:eastAsia="宋体"/>
      <w:color w:val="595959"/>
    </w:rPr>
  </w:style>
  <w:style w:type="paragraph" w:styleId="style8">
    <w:name w:val="heading 8"/>
    <w:basedOn w:val="style0"/>
    <w:next w:val="style0"/>
    <w:link w:val="style4104"/>
    <w:qFormat/>
    <w:uiPriority w:val="9"/>
    <w:pPr>
      <w:keepNext/>
      <w:keepLines/>
      <w:spacing w:after="0"/>
      <w:outlineLvl w:val="7"/>
    </w:pPr>
    <w:rPr>
      <w:rFonts w:cs="宋体" w:eastAsia="宋体"/>
      <w:i/>
      <w:iCs/>
      <w:color w:val="272727"/>
    </w:rPr>
  </w:style>
  <w:style w:type="paragraph" w:styleId="style9">
    <w:name w:val="heading 9"/>
    <w:basedOn w:val="style0"/>
    <w:next w:val="style0"/>
    <w:link w:val="style4105"/>
    <w:qFormat/>
    <w:uiPriority w:val="9"/>
    <w:pPr>
      <w:keepNext/>
      <w:keepLines/>
      <w:spacing w:after="0"/>
      <w:outlineLvl w:val="8"/>
    </w:pPr>
    <w:rPr>
      <w:rFonts w:cs="宋体" w:eastAsia="宋体"/>
      <w:color w:val="272727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Заголовок 1 Знак"/>
    <w:basedOn w:val="style65"/>
    <w:next w:val="style4097"/>
    <w:link w:val="style1"/>
    <w:uiPriority w:val="9"/>
    <w:rPr>
      <w:rFonts w:ascii="Calibri Light" w:cs="宋体" w:eastAsia="宋体" w:hAnsi="Calibri Light"/>
      <w:color w:val="2f5496"/>
      <w:sz w:val="40"/>
      <w:szCs w:val="40"/>
    </w:rPr>
  </w:style>
  <w:style w:type="character" w:customStyle="1" w:styleId="style4098">
    <w:name w:val="Заголовок 2 Знак"/>
    <w:basedOn w:val="style65"/>
    <w:next w:val="style4098"/>
    <w:link w:val="style2"/>
    <w:uiPriority w:val="9"/>
    <w:rPr>
      <w:rFonts w:ascii="Calibri Light" w:cs="宋体" w:eastAsia="宋体" w:hAnsi="Calibri Light"/>
      <w:color w:val="2f5496"/>
      <w:sz w:val="32"/>
      <w:szCs w:val="32"/>
    </w:rPr>
  </w:style>
  <w:style w:type="character" w:customStyle="1" w:styleId="style4099">
    <w:name w:val="Заголовок 3 Знак"/>
    <w:basedOn w:val="style65"/>
    <w:next w:val="style4099"/>
    <w:link w:val="style3"/>
    <w:uiPriority w:val="9"/>
    <w:rPr>
      <w:rFonts w:cs="宋体" w:eastAsia="宋体"/>
      <w:color w:val="2f5496"/>
      <w:sz w:val="28"/>
      <w:szCs w:val="28"/>
    </w:rPr>
  </w:style>
  <w:style w:type="character" w:customStyle="1" w:styleId="style4100">
    <w:name w:val="Заголовок 4 Знак"/>
    <w:basedOn w:val="style65"/>
    <w:next w:val="style4100"/>
    <w:link w:val="style4"/>
    <w:uiPriority w:val="9"/>
    <w:rPr>
      <w:rFonts w:cs="宋体" w:eastAsia="宋体"/>
      <w:i/>
      <w:iCs/>
      <w:color w:val="2f5496"/>
    </w:rPr>
  </w:style>
  <w:style w:type="character" w:customStyle="1" w:styleId="style4101">
    <w:name w:val="Заголовок 5 Знак"/>
    <w:basedOn w:val="style65"/>
    <w:next w:val="style4101"/>
    <w:link w:val="style5"/>
    <w:uiPriority w:val="9"/>
    <w:rPr>
      <w:rFonts w:cs="宋体" w:eastAsia="宋体"/>
      <w:color w:val="2f5496"/>
    </w:rPr>
  </w:style>
  <w:style w:type="character" w:customStyle="1" w:styleId="style4102">
    <w:name w:val="Заголовок 6 Знак"/>
    <w:basedOn w:val="style65"/>
    <w:next w:val="style4102"/>
    <w:link w:val="style6"/>
    <w:uiPriority w:val="9"/>
    <w:rPr>
      <w:rFonts w:cs="宋体" w:eastAsia="宋体"/>
      <w:i/>
      <w:iCs/>
      <w:color w:val="595959"/>
    </w:rPr>
  </w:style>
  <w:style w:type="character" w:customStyle="1" w:styleId="style4103">
    <w:name w:val="Заголовок 7 Знак"/>
    <w:basedOn w:val="style65"/>
    <w:next w:val="style4103"/>
    <w:link w:val="style7"/>
    <w:uiPriority w:val="9"/>
    <w:rPr>
      <w:rFonts w:cs="宋体" w:eastAsia="宋体"/>
      <w:color w:val="595959"/>
    </w:rPr>
  </w:style>
  <w:style w:type="character" w:customStyle="1" w:styleId="style4104">
    <w:name w:val="Заголовок 8 Знак"/>
    <w:basedOn w:val="style65"/>
    <w:next w:val="style4104"/>
    <w:link w:val="style8"/>
    <w:uiPriority w:val="9"/>
    <w:rPr>
      <w:rFonts w:cs="宋体" w:eastAsia="宋体"/>
      <w:i/>
      <w:iCs/>
      <w:color w:val="272727"/>
    </w:rPr>
  </w:style>
  <w:style w:type="character" w:customStyle="1" w:styleId="style4105">
    <w:name w:val="Заголовок 9 Знак"/>
    <w:basedOn w:val="style65"/>
    <w:next w:val="style4105"/>
    <w:link w:val="style9"/>
    <w:uiPriority w:val="9"/>
    <w:rPr>
      <w:rFonts w:cs="宋体" w:eastAsia="宋体"/>
      <w:color w:val="272727"/>
    </w:rPr>
  </w:style>
  <w:style w:type="paragraph" w:styleId="style62">
    <w:name w:val="Title"/>
    <w:basedOn w:val="style0"/>
    <w:next w:val="style0"/>
    <w:link w:val="style4106"/>
    <w:qFormat/>
    <w:uiPriority w:val="10"/>
    <w:pPr>
      <w:spacing w:after="80" w:lineRule="auto" w:line="240"/>
      <w:contextualSpacing/>
    </w:pPr>
    <w:rPr>
      <w:rFonts w:ascii="Calibri Light" w:cs="宋体" w:eastAsia="宋体" w:hAnsi="Calibri Light"/>
      <w:spacing w:val="-10"/>
      <w:kern w:val="28"/>
      <w:sz w:val="56"/>
      <w:szCs w:val="56"/>
    </w:rPr>
  </w:style>
  <w:style w:type="character" w:customStyle="1" w:styleId="style4106">
    <w:name w:val="Заголовок Знак"/>
    <w:basedOn w:val="style65"/>
    <w:next w:val="style4106"/>
    <w:link w:val="style62"/>
    <w:uiPriority w:val="10"/>
    <w:rPr>
      <w:rFonts w:ascii="Calibri Light" w:cs="宋体" w:eastAsia="宋体" w:hAnsi="Calibri Light"/>
      <w:spacing w:val="-10"/>
      <w:kern w:val="28"/>
      <w:sz w:val="56"/>
      <w:szCs w:val="56"/>
    </w:rPr>
  </w:style>
  <w:style w:type="paragraph" w:styleId="style74">
    <w:name w:val="Subtitle"/>
    <w:basedOn w:val="style0"/>
    <w:next w:val="style0"/>
    <w:link w:val="style4107"/>
    <w:qFormat/>
    <w:uiPriority w:val="11"/>
    <w:pPr>
      <w:numPr>
        <w:ilvl w:val="1"/>
        <w:numId w:val="0"/>
      </w:numPr>
    </w:pPr>
    <w:rPr>
      <w:rFonts w:cs="宋体" w:eastAsia="宋体"/>
      <w:color w:val="595959"/>
      <w:spacing w:val="15"/>
      <w:sz w:val="28"/>
      <w:szCs w:val="28"/>
    </w:rPr>
  </w:style>
  <w:style w:type="character" w:customStyle="1" w:styleId="style4107">
    <w:name w:val="Подзаголовок Знак"/>
    <w:basedOn w:val="style65"/>
    <w:next w:val="style4107"/>
    <w:link w:val="style74"/>
    <w:uiPriority w:val="11"/>
    <w:rPr>
      <w:rFonts w:cs="宋体" w:eastAsia="宋体"/>
      <w:color w:val="595959"/>
      <w:spacing w:val="15"/>
      <w:sz w:val="28"/>
      <w:szCs w:val="28"/>
    </w:rPr>
  </w:style>
  <w:style w:type="paragraph" w:styleId="style180">
    <w:name w:val="Quote"/>
    <w:basedOn w:val="style0"/>
    <w:next w:val="style0"/>
    <w:link w:val="style4108"/>
    <w:qFormat/>
    <w:uiPriority w:val="29"/>
    <w:pPr>
      <w:spacing w:before="160"/>
      <w:jc w:val="center"/>
    </w:pPr>
    <w:rPr>
      <w:i/>
      <w:iCs/>
      <w:color w:val="404040"/>
    </w:rPr>
  </w:style>
  <w:style w:type="character" w:customStyle="1" w:styleId="style4108">
    <w:name w:val="Цитата 2 Знак"/>
    <w:basedOn w:val="style65"/>
    <w:next w:val="style4108"/>
    <w:link w:val="style180"/>
    <w:uiPriority w:val="29"/>
    <w:rPr>
      <w:i/>
      <w:iCs/>
      <w:color w:val="404040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261">
    <w:name w:val="Intense Emphasis"/>
    <w:basedOn w:val="style65"/>
    <w:next w:val="style261"/>
    <w:qFormat/>
    <w:uiPriority w:val="21"/>
    <w:rPr>
      <w:i/>
      <w:iCs/>
      <w:color w:val="2f5496"/>
    </w:rPr>
  </w:style>
  <w:style w:type="paragraph" w:styleId="style181">
    <w:name w:val="Intense Quote"/>
    <w:basedOn w:val="style0"/>
    <w:next w:val="style0"/>
    <w:link w:val="style4109"/>
    <w:qFormat/>
    <w:uiPriority w:val="30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style4109">
    <w:name w:val="Выделенная цитата Знак"/>
    <w:basedOn w:val="style65"/>
    <w:next w:val="style4109"/>
    <w:link w:val="style181"/>
    <w:uiPriority w:val="30"/>
    <w:rPr>
      <w:i/>
      <w:iCs/>
      <w:color w:val="2f5496"/>
    </w:rPr>
  </w:style>
  <w:style w:type="character" w:styleId="style263">
    <w:name w:val="Intense Reference"/>
    <w:basedOn w:val="style65"/>
    <w:next w:val="style263"/>
    <w:qFormat/>
    <w:uiPriority w:val="32"/>
    <w:rPr>
      <w:b/>
      <w:bCs/>
      <w:smallCaps/>
      <w:color w:val="2f5496"/>
      <w:spacing w:val="5"/>
    </w:rPr>
  </w:style>
  <w:style w:type="paragraph" w:styleId="style66">
    <w:name w:val="Body Text"/>
    <w:basedOn w:val="style0"/>
    <w:next w:val="style66"/>
    <w:link w:val="style4110"/>
    <w:uiPriority w:val="99"/>
    <w:pPr>
      <w:spacing w:after="120"/>
    </w:pPr>
    <w:rPr/>
  </w:style>
  <w:style w:type="character" w:customStyle="1" w:styleId="style4110">
    <w:name w:val="Основной текст Знак"/>
    <w:basedOn w:val="style65"/>
    <w:next w:val="style4110"/>
    <w:link w:val="style66"/>
    <w:uiPriority w:val="99"/>
  </w:style>
  <w:style w:type="paragraph" w:styleId="style32">
    <w:name w:val="footer"/>
    <w:basedOn w:val="style0"/>
    <w:next w:val="style32"/>
    <w:link w:val="style4111"/>
    <w:uiPriority w:val="99"/>
    <w:pPr>
      <w:tabs>
        <w:tab w:val="center" w:leader="none" w:pos="4819"/>
        <w:tab w:val="right" w:leader="none" w:pos="9639"/>
      </w:tabs>
      <w:spacing w:after="0" w:lineRule="auto" w:line="240"/>
    </w:pPr>
    <w:rPr/>
  </w:style>
  <w:style w:type="character" w:customStyle="1" w:styleId="style4111">
    <w:name w:val="Нижний колонтитул Знак"/>
    <w:basedOn w:val="style65"/>
    <w:next w:val="style4111"/>
    <w:link w:val="style32"/>
    <w:uiPriority w:val="99"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table" w:customStyle="1" w:styleId="style4112">
    <w:name w:val="Сітка таблиці1"/>
    <w:basedOn w:val="style105"/>
    <w:next w:val="style154"/>
    <w:uiPriority w:val="39"/>
    <w:pPr>
      <w:spacing w:after="0" w:lineRule="auto" w:line="240"/>
    </w:pPr>
    <w:rPr>
      <w:rFonts w:cs="Times New Roman" w:eastAsia="Times New Roman"/>
      <w:kern w:val="0"/>
      <w:sz w:val="22"/>
      <w:szCs w:val="22"/>
      <w:lang w:val="en-US"/>
      <w14:ligatures xmlns:w14="http://schemas.microsoft.com/office/word/2010/wordml"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customXml" Target="ink/ink1.xml"/><Relationship Id="rId3" Type="http://schemas.openxmlformats.org/officeDocument/2006/relationships/customXml" Target="ink/ink2.xml"/><Relationship Id="rId4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1-08T15:00:34.453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0 0,'0'0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1-08T15:00:34.454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0 0,'0'0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Words>1137</Words>
  <Pages>6</Pages>
  <Characters>8187</Characters>
  <Application>WPS Office</Application>
  <DocSecurity>0</DocSecurity>
  <Paragraphs>288</Paragraphs>
  <ScaleCrop>false</ScaleCrop>
  <LinksUpToDate>false</LinksUpToDate>
  <CharactersWithSpaces>9174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2025-10-27T07:56:00Z</dcterms:created>
  <dc:creator>Svitlana</dc:creator>
  <lastModifiedBy>25062RN2DY</lastModifiedBy>
  <dcterms:modified xsi:type="dcterms:W3CDTF">2026-05-20T18:03:19Z</dcterms:modified>
  <revision>13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ae2848d90dca4c778847ea2f90d3ae0a</vt:lpwstr>
  </property>
</Properties>
</file>