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33C4F">
      <w:pPr>
        <w:spacing w:before="74"/>
        <w:ind w:left="2611" w:right="2753"/>
        <w:jc w:val="center"/>
        <w:rPr>
          <w:b/>
          <w:sz w:val="24"/>
        </w:rPr>
      </w:pPr>
      <w:r>
        <w:rPr>
          <w:b/>
          <w:sz w:val="24"/>
        </w:rPr>
        <w:t>КАРТКА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ЗАХОДУ</w:t>
      </w:r>
    </w:p>
    <w:p w14:paraId="1EA7CD5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БПР працівників сфери охорони здоров’я</w:t>
      </w:r>
    </w:p>
    <w:p w14:paraId="673D8C45">
      <w:pPr>
        <w:spacing w:before="180"/>
        <w:ind w:left="2611" w:right="2753"/>
        <w:jc w:val="center"/>
        <w:rPr>
          <w:b/>
          <w:sz w:val="24"/>
        </w:rPr>
      </w:pPr>
    </w:p>
    <w:p w14:paraId="3F3B30B9">
      <w:pPr>
        <w:pStyle w:val="5"/>
        <w:spacing w:before="11"/>
        <w:rPr>
          <w:b/>
          <w:sz w:val="15"/>
        </w:rPr>
      </w:pPr>
    </w:p>
    <w:tbl>
      <w:tblPr>
        <w:tblStyle w:val="7"/>
        <w:tblW w:w="0" w:type="auto"/>
        <w:tblInd w:w="1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55"/>
        <w:gridCol w:w="4956"/>
      </w:tblGrid>
      <w:tr w14:paraId="601F7D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</w:trPr>
        <w:tc>
          <w:tcPr>
            <w:tcW w:w="4855" w:type="dxa"/>
          </w:tcPr>
          <w:p w14:paraId="5CC8F422">
            <w:pPr>
              <w:pStyle w:val="9"/>
              <w:spacing w:before="10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заходу </w:t>
            </w:r>
            <w:r>
              <w:rPr>
                <w:spacing w:val="-5"/>
                <w:sz w:val="24"/>
              </w:rPr>
              <w:t>БПР</w:t>
            </w:r>
          </w:p>
        </w:tc>
        <w:tc>
          <w:tcPr>
            <w:tcW w:w="4956" w:type="dxa"/>
            <w:vAlign w:val="center"/>
          </w:tcPr>
          <w:p w14:paraId="244AAEC5">
            <w:pPr>
              <w:pStyle w:val="9"/>
              <w:spacing w:before="107"/>
              <w:ind w:left="227" w:leftChars="100" w:hanging="7" w:firstLineChars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«</w:t>
            </w:r>
            <w:r>
              <w:rPr>
                <w:b/>
                <w:bCs/>
                <w:color w:val="auto"/>
                <w:sz w:val="24"/>
                <w:szCs w:val="24"/>
                <w:lang w:val="uk-UA"/>
              </w:rPr>
              <w:t>Інфекційний</w:t>
            </w:r>
            <w:r>
              <w:rPr>
                <w:rFonts w:hint="default"/>
                <w:b/>
                <w:bCs/>
                <w:color w:val="auto"/>
                <w:sz w:val="24"/>
                <w:szCs w:val="24"/>
                <w:lang w:val="uk-UA"/>
              </w:rPr>
              <w:t xml:space="preserve"> контроль: від теорії до практики. Стандартні заходи захисту</w:t>
            </w:r>
            <w:r>
              <w:rPr>
                <w:b/>
                <w:bCs/>
                <w:color w:val="auto"/>
                <w:sz w:val="24"/>
                <w:szCs w:val="24"/>
              </w:rPr>
              <w:t>»</w:t>
            </w:r>
          </w:p>
        </w:tc>
      </w:tr>
      <w:tr w14:paraId="385A94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2" w:hRule="atLeast"/>
        </w:trPr>
        <w:tc>
          <w:tcPr>
            <w:tcW w:w="4855" w:type="dxa"/>
          </w:tcPr>
          <w:p w14:paraId="330D527C">
            <w:pPr>
              <w:pStyle w:val="9"/>
              <w:spacing w:before="10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Назва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Провайдера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Єдиного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державного реєстру юридичних осіб, фізичних осіб – підприємців та громадських формувань)</w:t>
            </w:r>
          </w:p>
        </w:tc>
        <w:tc>
          <w:tcPr>
            <w:tcW w:w="4956" w:type="dxa"/>
            <w:vAlign w:val="center"/>
          </w:tcPr>
          <w:p w14:paraId="21223511">
            <w:pPr>
              <w:pStyle w:val="9"/>
              <w:spacing w:before="107"/>
              <w:ind w:left="227" w:leftChars="100" w:right="119" w:hanging="7" w:firstLineChars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Державна установа «Хмельницький обласний центр контролю та профілактики хвороб МОЗ України»</w:t>
            </w:r>
          </w:p>
        </w:tc>
      </w:tr>
      <w:tr w14:paraId="75FD2D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4855" w:type="dxa"/>
          </w:tcPr>
          <w:p w14:paraId="0608B5AF">
            <w:pPr>
              <w:pStyle w:val="9"/>
              <w:spacing w:before="107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Співорганізатори </w:t>
            </w:r>
            <w:r>
              <w:rPr>
                <w:spacing w:val="-2"/>
                <w:sz w:val="24"/>
              </w:rPr>
              <w:t>заходу</w:t>
            </w:r>
          </w:p>
        </w:tc>
        <w:tc>
          <w:tcPr>
            <w:tcW w:w="4956" w:type="dxa"/>
            <w:vAlign w:val="center"/>
          </w:tcPr>
          <w:p w14:paraId="172EB5B2">
            <w:pPr>
              <w:pStyle w:val="9"/>
              <w:spacing w:before="107"/>
              <w:ind w:left="227" w:leftChars="100" w:right="2" w:hanging="7" w:firstLineChars="0"/>
              <w:jc w:val="left"/>
              <w:rPr>
                <w:rFonts w:hint="default"/>
                <w:color w:val="auto"/>
                <w:sz w:val="24"/>
                <w:szCs w:val="24"/>
                <w:lang w:val="uk-UA"/>
              </w:rPr>
            </w:pPr>
            <w:r>
              <w:rPr>
                <w:rFonts w:hint="default"/>
                <w:color w:val="auto"/>
                <w:sz w:val="24"/>
                <w:szCs w:val="24"/>
                <w:lang w:val="uk-UA"/>
              </w:rPr>
              <w:t>-</w:t>
            </w:r>
          </w:p>
        </w:tc>
      </w:tr>
      <w:tr w14:paraId="79B051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</w:trPr>
        <w:tc>
          <w:tcPr>
            <w:tcW w:w="4855" w:type="dxa"/>
          </w:tcPr>
          <w:p w14:paraId="0CBBFEEF">
            <w:pPr>
              <w:pStyle w:val="9"/>
              <w:spacing w:before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Цільова аудиторія (відповідно до Номенклатури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лікарських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спеціальностей)</w:t>
            </w:r>
          </w:p>
        </w:tc>
        <w:tc>
          <w:tcPr>
            <w:tcW w:w="4956" w:type="dxa"/>
            <w:vAlign w:val="center"/>
          </w:tcPr>
          <w:p w14:paraId="77992166">
            <w:pPr>
              <w:pStyle w:val="9"/>
              <w:spacing w:before="107"/>
              <w:ind w:left="227" w:leftChars="100" w:right="566" w:hanging="7" w:firstLineChars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uk-UA" w:eastAsia="en-US"/>
              </w:rPr>
              <w:t>Всі</w:t>
            </w:r>
            <w:r>
              <w:rPr>
                <w:rFonts w:hint="default"/>
                <w:color w:val="auto"/>
                <w:sz w:val="24"/>
                <w:szCs w:val="24"/>
                <w:lang w:val="uk-UA" w:eastAsia="en-US"/>
              </w:rPr>
              <w:t xml:space="preserve"> лікарські спеціальності та всі </w:t>
            </w:r>
            <w:r>
              <w:rPr>
                <w:color w:val="auto"/>
                <w:sz w:val="24"/>
                <w:szCs w:val="24"/>
                <w:lang w:val="uk-UA" w:eastAsia="en-US"/>
              </w:rPr>
              <w:t>спеціальності фахівців</w:t>
            </w:r>
            <w:r>
              <w:rPr>
                <w:rFonts w:hint="default"/>
                <w:color w:val="auto"/>
                <w:sz w:val="24"/>
                <w:szCs w:val="24"/>
                <w:lang w:val="uk-UA" w:eastAsia="en-US"/>
              </w:rPr>
              <w:t xml:space="preserve"> у сфері охорони здоров’я</w:t>
            </w:r>
            <w:r>
              <w:rPr>
                <w:color w:val="auto"/>
                <w:sz w:val="24"/>
                <w:szCs w:val="24"/>
                <w:lang w:val="uk-UA" w:eastAsia="en-US"/>
              </w:rPr>
              <w:t xml:space="preserve"> </w:t>
            </w:r>
          </w:p>
        </w:tc>
      </w:tr>
      <w:tr w14:paraId="32DD14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4855" w:type="dxa"/>
          </w:tcPr>
          <w:p w14:paraId="7C3FB562">
            <w:pPr>
              <w:pStyle w:val="9"/>
              <w:spacing w:before="107"/>
              <w:rPr>
                <w:sz w:val="24"/>
              </w:rPr>
            </w:pPr>
            <w:r>
              <w:rPr>
                <w:sz w:val="24"/>
              </w:rPr>
              <w:t>5. Вид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заходу </w:t>
            </w:r>
            <w:r>
              <w:rPr>
                <w:spacing w:val="-5"/>
                <w:sz w:val="24"/>
              </w:rPr>
              <w:t>БПР</w:t>
            </w:r>
          </w:p>
        </w:tc>
        <w:tc>
          <w:tcPr>
            <w:tcW w:w="4956" w:type="dxa"/>
            <w:vAlign w:val="center"/>
          </w:tcPr>
          <w:p w14:paraId="331E778C">
            <w:pPr>
              <w:pStyle w:val="9"/>
              <w:spacing w:before="107"/>
              <w:ind w:left="227" w:leftChars="100" w:right="2" w:hanging="7" w:firstLineChars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Майстер</w:t>
            </w:r>
            <w:r>
              <w:rPr>
                <w:rFonts w:hint="default"/>
                <w:sz w:val="24"/>
                <w:szCs w:val="24"/>
                <w:lang w:val="en-US"/>
              </w:rPr>
              <w:t>-клас</w:t>
            </w: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 w14:paraId="442950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4855" w:type="dxa"/>
          </w:tcPr>
          <w:p w14:paraId="66794EA5">
            <w:pPr>
              <w:pStyle w:val="9"/>
              <w:spacing w:before="107"/>
              <w:rPr>
                <w:sz w:val="24"/>
              </w:rPr>
            </w:pPr>
            <w:r>
              <w:rPr>
                <w:sz w:val="24"/>
              </w:rPr>
              <w:t>6. Запланована кількість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учасників</w:t>
            </w:r>
          </w:p>
        </w:tc>
        <w:tc>
          <w:tcPr>
            <w:tcW w:w="4956" w:type="dxa"/>
            <w:vAlign w:val="center"/>
          </w:tcPr>
          <w:p w14:paraId="56CAFBC3">
            <w:pPr>
              <w:pStyle w:val="9"/>
              <w:spacing w:before="107"/>
              <w:ind w:left="227" w:leftChars="100" w:right="2" w:hanging="7" w:firstLineChars="0"/>
              <w:jc w:val="left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uk-UA"/>
              </w:rPr>
              <w:t>25-3</w:t>
            </w:r>
            <w:r>
              <w:rPr>
                <w:sz w:val="24"/>
                <w:szCs w:val="24"/>
              </w:rPr>
              <w:t>0</w:t>
            </w:r>
          </w:p>
        </w:tc>
      </w:tr>
      <w:tr w14:paraId="33D68B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0" w:hRule="atLeast"/>
        </w:trPr>
        <w:tc>
          <w:tcPr>
            <w:tcW w:w="4855" w:type="dxa"/>
          </w:tcPr>
          <w:p w14:paraId="7FFA08A9">
            <w:pPr>
              <w:pStyle w:val="9"/>
              <w:spacing w:before="107"/>
              <w:rPr>
                <w:sz w:val="24"/>
              </w:rPr>
            </w:pPr>
            <w:r>
              <w:rPr>
                <w:sz w:val="24"/>
              </w:rPr>
              <w:t xml:space="preserve">7. Мета </w:t>
            </w:r>
            <w:r>
              <w:rPr>
                <w:spacing w:val="-2"/>
                <w:sz w:val="24"/>
              </w:rPr>
              <w:t>навчання</w:t>
            </w:r>
          </w:p>
        </w:tc>
        <w:tc>
          <w:tcPr>
            <w:tcW w:w="4956" w:type="dxa"/>
            <w:vAlign w:val="center"/>
          </w:tcPr>
          <w:p w14:paraId="362B3D2C">
            <w:pPr>
              <w:pStyle w:val="9"/>
              <w:spacing w:before="107"/>
              <w:ind w:left="227" w:leftChars="100" w:right="113" w:hanging="7" w:firstLineChars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П</w:t>
            </w:r>
            <w:r>
              <w:rPr>
                <w:sz w:val="24"/>
                <w:szCs w:val="24"/>
              </w:rPr>
              <w:t>оглибити знання щодо сучасних</w:t>
            </w:r>
            <w:r>
              <w:rPr>
                <w:rFonts w:hint="default"/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</w:rPr>
              <w:t>стандартів інфекційного контролю, сформув</w:t>
            </w:r>
            <w:bookmarkStart w:id="1" w:name="_GoBack"/>
            <w:bookmarkEnd w:id="1"/>
            <w:r>
              <w:rPr>
                <w:sz w:val="24"/>
                <w:szCs w:val="24"/>
              </w:rPr>
              <w:t>ати та вдосконалити</w:t>
            </w:r>
            <w:r>
              <w:rPr>
                <w:rFonts w:hint="default"/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</w:rPr>
              <w:t xml:space="preserve">компетентності з оцінки інфекційних ризиків, застосування засобів індивідуального захисту, дотримання гігієни рук і впровадження профілактичних заходів у щоденній медичній практиці. </w:t>
            </w:r>
          </w:p>
        </w:tc>
      </w:tr>
      <w:tr w14:paraId="616C30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4" w:hRule="atLeast"/>
        </w:trPr>
        <w:tc>
          <w:tcPr>
            <w:tcW w:w="4855" w:type="dxa"/>
          </w:tcPr>
          <w:p w14:paraId="48B3FCB5">
            <w:pPr>
              <w:pStyle w:val="9"/>
              <w:spacing w:before="107"/>
              <w:rPr>
                <w:sz w:val="24"/>
              </w:rPr>
            </w:pPr>
            <w:r>
              <w:rPr>
                <w:sz w:val="24"/>
              </w:rPr>
              <w:t>8. Метод / методи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навчання</w:t>
            </w:r>
          </w:p>
        </w:tc>
        <w:tc>
          <w:tcPr>
            <w:tcW w:w="4956" w:type="dxa"/>
            <w:vAlign w:val="center"/>
          </w:tcPr>
          <w:p w14:paraId="3BF281D9">
            <w:pPr>
              <w:pStyle w:val="9"/>
              <w:spacing w:before="107"/>
              <w:ind w:left="227" w:leftChars="100" w:hanging="7" w:firstLineChars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Презентації, групові дискусії, практичні вправи, робота в малих групах, виконання рольових функцій і завдань, вирішення ситуаційних задач, діалог, тестування</w:t>
            </w:r>
          </w:p>
        </w:tc>
      </w:tr>
      <w:tr w14:paraId="18A977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4855" w:type="dxa"/>
          </w:tcPr>
          <w:p w14:paraId="0E87FAB0">
            <w:pPr>
              <w:pStyle w:val="9"/>
              <w:spacing w:before="109"/>
              <w:rPr>
                <w:sz w:val="24"/>
              </w:rPr>
            </w:pPr>
            <w:r>
              <w:rPr>
                <w:sz w:val="24"/>
              </w:rPr>
              <w:t>9. Кількість балів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БПР</w:t>
            </w:r>
          </w:p>
        </w:tc>
        <w:tc>
          <w:tcPr>
            <w:tcW w:w="4956" w:type="dxa"/>
            <w:vAlign w:val="center"/>
          </w:tcPr>
          <w:p w14:paraId="11A8ED6F">
            <w:pPr>
              <w:pStyle w:val="9"/>
              <w:spacing w:before="109"/>
              <w:ind w:left="227" w:leftChars="100" w:hanging="7" w:firstLineChars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 балів </w:t>
            </w:r>
          </w:p>
        </w:tc>
      </w:tr>
      <w:tr w14:paraId="16FF44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4855" w:type="dxa"/>
          </w:tcPr>
          <w:p w14:paraId="38543167">
            <w:pPr>
              <w:pStyle w:val="9"/>
              <w:spacing w:before="109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Дата заходу </w:t>
            </w:r>
            <w:r>
              <w:rPr>
                <w:spacing w:val="-5"/>
                <w:sz w:val="24"/>
              </w:rPr>
              <w:t>БПР</w:t>
            </w:r>
          </w:p>
        </w:tc>
        <w:tc>
          <w:tcPr>
            <w:tcW w:w="4956" w:type="dxa"/>
            <w:vAlign w:val="center"/>
          </w:tcPr>
          <w:p w14:paraId="10F80C5F">
            <w:pPr>
              <w:pStyle w:val="9"/>
              <w:spacing w:before="109"/>
              <w:ind w:left="227" w:leftChars="100" w:right="2" w:hanging="7" w:firstLineChars="0"/>
              <w:jc w:val="left"/>
              <w:rPr>
                <w:sz w:val="24"/>
                <w:szCs w:val="24"/>
              </w:rPr>
            </w:pPr>
          </w:p>
        </w:tc>
      </w:tr>
      <w:tr w14:paraId="7A23FB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4855" w:type="dxa"/>
          </w:tcPr>
          <w:p w14:paraId="59FC2720">
            <w:pPr>
              <w:pStyle w:val="9"/>
              <w:spacing w:before="109"/>
              <w:rPr>
                <w:sz w:val="24"/>
              </w:rPr>
            </w:pPr>
            <w:r>
              <w:rPr>
                <w:sz w:val="24"/>
              </w:rPr>
              <w:t>11.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Місце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проведення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заходу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БПР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(повна </w:t>
            </w:r>
            <w:r>
              <w:rPr>
                <w:spacing w:val="-2"/>
                <w:sz w:val="24"/>
              </w:rPr>
              <w:t>адреса)</w:t>
            </w:r>
          </w:p>
        </w:tc>
        <w:tc>
          <w:tcPr>
            <w:tcW w:w="4956" w:type="dxa"/>
            <w:vAlign w:val="center"/>
          </w:tcPr>
          <w:p w14:paraId="3975E020">
            <w:pPr>
              <w:widowControl/>
              <w:autoSpaceDE/>
              <w:autoSpaceDN/>
              <w:ind w:left="227" w:leftChars="100" w:hanging="7" w:firstLineChars="0"/>
              <w:jc w:val="left"/>
              <w:rPr>
                <w:sz w:val="24"/>
                <w:szCs w:val="24"/>
              </w:rPr>
            </w:pPr>
            <w:bookmarkStart w:id="0" w:name="_Hlk212191486"/>
            <w:r>
              <w:rPr>
                <w:rFonts w:hint="default"/>
                <w:sz w:val="24"/>
                <w:szCs w:val="24"/>
                <w:lang w:eastAsia="ru-RU"/>
              </w:rPr>
              <w:t>Хмельницька обл.</w:t>
            </w:r>
            <w:r>
              <w:rPr>
                <w:rFonts w:hint="default"/>
                <w:sz w:val="24"/>
                <w:szCs w:val="24"/>
                <w:lang w:val="uk-UA" w:eastAsia="ru-RU"/>
              </w:rPr>
              <w:t xml:space="preserve">, </w:t>
            </w:r>
            <w:r>
              <w:rPr>
                <w:rFonts w:hint="default"/>
                <w:sz w:val="24"/>
                <w:szCs w:val="24"/>
                <w:lang w:eastAsia="ru-RU"/>
              </w:rPr>
              <w:t>Хмельницький район, м.Хмельницький, Львівське шосе, буд.1</w:t>
            </w:r>
            <w:r>
              <w:rPr>
                <w:sz w:val="24"/>
                <w:szCs w:val="24"/>
                <w:lang w:eastAsia="ru-RU"/>
              </w:rPr>
              <w:t xml:space="preserve">  </w:t>
            </w:r>
            <w:bookmarkEnd w:id="0"/>
          </w:p>
        </w:tc>
      </w:tr>
      <w:tr w14:paraId="4C18F4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4855" w:type="dxa"/>
          </w:tcPr>
          <w:p w14:paraId="51828875">
            <w:pPr>
              <w:pStyle w:val="9"/>
              <w:spacing w:before="107"/>
              <w:rPr>
                <w:sz w:val="24"/>
              </w:rPr>
            </w:pPr>
            <w:r>
              <w:rPr>
                <w:sz w:val="24"/>
              </w:rPr>
              <w:t>12.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Прізвище,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ім’я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батькові </w:t>
            </w:r>
            <w:r>
              <w:rPr>
                <w:spacing w:val="-2"/>
                <w:sz w:val="24"/>
              </w:rPr>
              <w:t>лектора/тренера</w:t>
            </w:r>
          </w:p>
        </w:tc>
        <w:tc>
          <w:tcPr>
            <w:tcW w:w="4956" w:type="dxa"/>
            <w:vAlign w:val="center"/>
          </w:tcPr>
          <w:p w14:paraId="17B9C075">
            <w:pPr>
              <w:pStyle w:val="9"/>
              <w:ind w:left="227" w:leftChars="100" w:hanging="7" w:firstLineChars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Мирна Наталія Леонідівна</w:t>
            </w:r>
          </w:p>
          <w:p w14:paraId="67A97143">
            <w:pPr>
              <w:pStyle w:val="9"/>
              <w:ind w:left="227" w:leftChars="100" w:hanging="7" w:firstLineChars="0"/>
              <w:jc w:val="left"/>
              <w:rPr>
                <w:rFonts w:hint="default"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Синчук</w:t>
            </w:r>
            <w:r>
              <w:rPr>
                <w:rFonts w:hint="default"/>
                <w:sz w:val="24"/>
                <w:szCs w:val="24"/>
                <w:lang w:val="uk-UA"/>
              </w:rPr>
              <w:t xml:space="preserve"> Наталія Олександрівна</w:t>
            </w:r>
          </w:p>
        </w:tc>
      </w:tr>
      <w:tr w14:paraId="45F62D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855" w:type="dxa"/>
          </w:tcPr>
          <w:p w14:paraId="400331A7">
            <w:pPr>
              <w:pStyle w:val="9"/>
              <w:spacing w:before="107"/>
              <w:rPr>
                <w:sz w:val="24"/>
              </w:rPr>
            </w:pPr>
            <w:r>
              <w:rPr>
                <w:sz w:val="24"/>
              </w:rPr>
              <w:t>13. Резюме</w:t>
            </w:r>
            <w:r>
              <w:rPr>
                <w:spacing w:val="-2"/>
                <w:sz w:val="24"/>
              </w:rPr>
              <w:t xml:space="preserve"> лектора/тренера</w:t>
            </w:r>
          </w:p>
        </w:tc>
        <w:tc>
          <w:tcPr>
            <w:tcW w:w="4956" w:type="dxa"/>
            <w:vAlign w:val="center"/>
          </w:tcPr>
          <w:p w14:paraId="5594BBD1">
            <w:pPr>
              <w:pStyle w:val="9"/>
              <w:ind w:left="227" w:leftChars="100" w:hanging="7" w:firstLineChars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Додається</w:t>
            </w:r>
          </w:p>
        </w:tc>
      </w:tr>
      <w:tr w14:paraId="5512C0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4855" w:type="dxa"/>
          </w:tcPr>
          <w:p w14:paraId="62FDF08F">
            <w:pPr>
              <w:pStyle w:val="9"/>
              <w:spacing w:before="107"/>
              <w:rPr>
                <w:sz w:val="24"/>
              </w:rPr>
            </w:pPr>
            <w:r>
              <w:rPr>
                <w:sz w:val="24"/>
              </w:rPr>
              <w:t>14.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заходу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БПР</w:t>
            </w:r>
          </w:p>
        </w:tc>
        <w:tc>
          <w:tcPr>
            <w:tcW w:w="4956" w:type="dxa"/>
            <w:vAlign w:val="center"/>
          </w:tcPr>
          <w:p w14:paraId="430294C9">
            <w:pPr>
              <w:pStyle w:val="9"/>
              <w:ind w:left="227" w:leftChars="100" w:hanging="7" w:firstLineChars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Додається</w:t>
            </w:r>
          </w:p>
        </w:tc>
      </w:tr>
      <w:tr w14:paraId="11706B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6" w:hRule="atLeast"/>
        </w:trPr>
        <w:tc>
          <w:tcPr>
            <w:tcW w:w="4855" w:type="dxa"/>
          </w:tcPr>
          <w:p w14:paraId="62E8FA01">
            <w:pPr>
              <w:pStyle w:val="9"/>
              <w:spacing w:before="107"/>
              <w:rPr>
                <w:sz w:val="24"/>
              </w:rPr>
            </w:pPr>
            <w:r>
              <w:rPr>
                <w:sz w:val="24"/>
              </w:rPr>
              <w:t>15.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Опис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вимог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рівня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знань,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володіння темою, навичок, досвіду учасників до моменту реєстрації на даний захід (за </w:t>
            </w:r>
            <w:r>
              <w:rPr>
                <w:spacing w:val="-2"/>
                <w:sz w:val="24"/>
              </w:rPr>
              <w:t>потреби)</w:t>
            </w:r>
          </w:p>
        </w:tc>
        <w:tc>
          <w:tcPr>
            <w:tcW w:w="4956" w:type="dxa"/>
            <w:vAlign w:val="center"/>
          </w:tcPr>
          <w:p w14:paraId="1ECBF486">
            <w:pPr>
              <w:pStyle w:val="9"/>
              <w:ind w:left="227" w:leftChars="100" w:hanging="7" w:firstLineChars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оцінки базового рівня знань.</w:t>
            </w:r>
          </w:p>
        </w:tc>
      </w:tr>
      <w:tr w14:paraId="4746D4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4" w:hRule="atLeast"/>
        </w:trPr>
        <w:tc>
          <w:tcPr>
            <w:tcW w:w="4855" w:type="dxa"/>
          </w:tcPr>
          <w:p w14:paraId="46D06FE5">
            <w:pPr>
              <w:pStyle w:val="9"/>
              <w:spacing w:before="107"/>
              <w:rPr>
                <w:sz w:val="24"/>
              </w:rPr>
            </w:pPr>
            <w:r>
              <w:rPr>
                <w:sz w:val="24"/>
              </w:rPr>
              <w:t xml:space="preserve">16. Технічна підтримка (так/ні?). </w:t>
            </w:r>
            <w:r>
              <w:rPr>
                <w:i/>
                <w:sz w:val="24"/>
              </w:rPr>
              <w:t>У разі, якщо під час проведення заходу БПР з оволодіння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певними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практичними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навичками планується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використання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медичних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виробів, які надані дистриб’ютором, Провайдер розміщує копію угоди, в якій зазначено шляхи недопущення виникнення потенційного конфлікту інтересів та заборону використання торгової назви медичного виробу</w:t>
            </w:r>
          </w:p>
        </w:tc>
        <w:tc>
          <w:tcPr>
            <w:tcW w:w="4956" w:type="dxa"/>
            <w:vAlign w:val="center"/>
          </w:tcPr>
          <w:p w14:paraId="45617809">
            <w:pPr>
              <w:pStyle w:val="9"/>
              <w:ind w:left="227" w:leftChars="100" w:hanging="7" w:firstLineChars="0"/>
              <w:jc w:val="left"/>
              <w:rPr>
                <w:rFonts w:hint="default"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  <w:lang w:val="uk-UA"/>
              </w:rPr>
              <w:t>і</w:t>
            </w:r>
          </w:p>
        </w:tc>
      </w:tr>
      <w:tr w14:paraId="395276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855" w:type="dxa"/>
          </w:tcPr>
          <w:p w14:paraId="5E8C2D03">
            <w:pPr>
              <w:pStyle w:val="9"/>
              <w:spacing w:before="107"/>
              <w:rPr>
                <w:sz w:val="24"/>
              </w:rPr>
            </w:pPr>
            <w:r>
              <w:rPr>
                <w:sz w:val="24"/>
              </w:rPr>
              <w:t>17. Методи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оцінювання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набутих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знань</w:t>
            </w:r>
          </w:p>
        </w:tc>
        <w:tc>
          <w:tcPr>
            <w:tcW w:w="4956" w:type="dxa"/>
            <w:vAlign w:val="center"/>
          </w:tcPr>
          <w:p w14:paraId="42A7C58C">
            <w:pPr>
              <w:pStyle w:val="9"/>
              <w:ind w:left="227" w:leftChars="100" w:hanging="7" w:firstLineChars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Тестування (15 тестових </w:t>
            </w:r>
            <w:r>
              <w:rPr>
                <w:sz w:val="24"/>
                <w:szCs w:val="24"/>
                <w:lang w:val="uk-UA"/>
              </w:rPr>
              <w:t>завдань</w:t>
            </w:r>
            <w:r>
              <w:rPr>
                <w:rFonts w:hint="default"/>
                <w:sz w:val="24"/>
                <w:szCs w:val="24"/>
                <w:lang w:val="uk-UA"/>
              </w:rPr>
              <w:t>, для отримання сертифікату надайте 80% правильних відповідей</w:t>
            </w:r>
            <w:r>
              <w:rPr>
                <w:sz w:val="24"/>
                <w:szCs w:val="24"/>
              </w:rPr>
              <w:t>).</w:t>
            </w:r>
          </w:p>
        </w:tc>
      </w:tr>
      <w:tr w14:paraId="69EE77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4" w:hRule="atLeast"/>
        </w:trPr>
        <w:tc>
          <w:tcPr>
            <w:tcW w:w="4855" w:type="dxa"/>
          </w:tcPr>
          <w:p w14:paraId="25E13D9E">
            <w:pPr>
              <w:pStyle w:val="9"/>
              <w:spacing w:before="107"/>
              <w:rPr>
                <w:sz w:val="24"/>
              </w:rPr>
            </w:pPr>
            <w:r>
              <w:rPr>
                <w:sz w:val="24"/>
              </w:rPr>
              <w:t>18.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заходу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БПР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Реєстраційний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номер заходу БПР вноситься після присвоєння </w:t>
            </w:r>
            <w:r>
              <w:rPr>
                <w:i/>
                <w:spacing w:val="-2"/>
                <w:sz w:val="24"/>
              </w:rPr>
              <w:t>Адміністратором</w:t>
            </w:r>
            <w:r>
              <w:rPr>
                <w:spacing w:val="-2"/>
                <w:sz w:val="24"/>
              </w:rPr>
              <w:t>)</w:t>
            </w:r>
          </w:p>
        </w:tc>
        <w:tc>
          <w:tcPr>
            <w:tcW w:w="4956" w:type="dxa"/>
            <w:vAlign w:val="center"/>
          </w:tcPr>
          <w:p w14:paraId="4D05933D">
            <w:pPr>
              <w:pStyle w:val="9"/>
              <w:ind w:left="227" w:leftChars="100" w:hanging="7" w:firstLineChars="0"/>
              <w:jc w:val="left"/>
              <w:rPr>
                <w:sz w:val="24"/>
                <w:szCs w:val="24"/>
              </w:rPr>
            </w:pPr>
          </w:p>
        </w:tc>
      </w:tr>
    </w:tbl>
    <w:p w14:paraId="7470CA66">
      <w:pPr>
        <w:pStyle w:val="9"/>
        <w:spacing w:line="487" w:lineRule="auto"/>
        <w:jc w:val="both"/>
        <w:rPr>
          <w:sz w:val="24"/>
        </w:rPr>
        <w:sectPr>
          <w:type w:val="continuous"/>
          <w:pgSz w:w="11910" w:h="16840"/>
          <w:pgMar w:top="900" w:right="850" w:bottom="715" w:left="992" w:header="708" w:footer="708" w:gutter="0"/>
          <w:cols w:space="720" w:num="1"/>
        </w:sectPr>
      </w:pPr>
    </w:p>
    <w:p w14:paraId="27ACFD8F">
      <w:pPr>
        <w:pStyle w:val="8"/>
        <w:tabs>
          <w:tab w:val="left" w:pos="847"/>
        </w:tabs>
        <w:ind w:right="281"/>
        <w:jc w:val="left"/>
      </w:pPr>
    </w:p>
    <w:p w14:paraId="207F97ED"/>
    <w:p w14:paraId="04793791"/>
    <w:p w14:paraId="1F255285">
      <w:pPr>
        <w:tabs>
          <w:tab w:val="left" w:pos="7935"/>
        </w:tabs>
      </w:pPr>
      <w:r>
        <w:tab/>
      </w:r>
    </w:p>
    <w:sectPr>
      <w:pgSz w:w="11910" w:h="16840"/>
      <w:pgMar w:top="1180" w:right="850" w:bottom="280" w:left="992" w:header="708" w:footer="708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BD1045"/>
    <w:rsid w:val="00062678"/>
    <w:rsid w:val="00084AFF"/>
    <w:rsid w:val="000916FD"/>
    <w:rsid w:val="000D2867"/>
    <w:rsid w:val="000E670B"/>
    <w:rsid w:val="00156E0E"/>
    <w:rsid w:val="001571B9"/>
    <w:rsid w:val="001721E1"/>
    <w:rsid w:val="001D30BF"/>
    <w:rsid w:val="001E1DDB"/>
    <w:rsid w:val="002A7298"/>
    <w:rsid w:val="002F6429"/>
    <w:rsid w:val="00300833"/>
    <w:rsid w:val="00343DB1"/>
    <w:rsid w:val="003B631E"/>
    <w:rsid w:val="003D175F"/>
    <w:rsid w:val="00407B04"/>
    <w:rsid w:val="00426E6D"/>
    <w:rsid w:val="00454D89"/>
    <w:rsid w:val="00511B87"/>
    <w:rsid w:val="00527A54"/>
    <w:rsid w:val="0058755B"/>
    <w:rsid w:val="005A7501"/>
    <w:rsid w:val="005E74A1"/>
    <w:rsid w:val="00650F30"/>
    <w:rsid w:val="00663792"/>
    <w:rsid w:val="0068299B"/>
    <w:rsid w:val="006D22DD"/>
    <w:rsid w:val="006E6471"/>
    <w:rsid w:val="006F022A"/>
    <w:rsid w:val="006F28D0"/>
    <w:rsid w:val="0073489C"/>
    <w:rsid w:val="00742277"/>
    <w:rsid w:val="00784D5E"/>
    <w:rsid w:val="008120C3"/>
    <w:rsid w:val="00885854"/>
    <w:rsid w:val="008A537E"/>
    <w:rsid w:val="00915C44"/>
    <w:rsid w:val="0094149D"/>
    <w:rsid w:val="00993DD8"/>
    <w:rsid w:val="00A17033"/>
    <w:rsid w:val="00A80DA5"/>
    <w:rsid w:val="00B47A7E"/>
    <w:rsid w:val="00BD1045"/>
    <w:rsid w:val="00C4083A"/>
    <w:rsid w:val="00D15D09"/>
    <w:rsid w:val="00D47643"/>
    <w:rsid w:val="00D574A0"/>
    <w:rsid w:val="00D801D3"/>
    <w:rsid w:val="00DA6C3B"/>
    <w:rsid w:val="00DB2EF7"/>
    <w:rsid w:val="00E01035"/>
    <w:rsid w:val="00E76209"/>
    <w:rsid w:val="00EB09A2"/>
    <w:rsid w:val="00EF1093"/>
    <w:rsid w:val="00F006F9"/>
    <w:rsid w:val="00F139F9"/>
    <w:rsid w:val="00F32800"/>
    <w:rsid w:val="00F573DD"/>
    <w:rsid w:val="00FB1D55"/>
    <w:rsid w:val="00FD7766"/>
    <w:rsid w:val="00FF0160"/>
    <w:rsid w:val="05575651"/>
    <w:rsid w:val="1B865037"/>
    <w:rsid w:val="1DDD2F8D"/>
    <w:rsid w:val="2E2B1767"/>
    <w:rsid w:val="4E4C31E6"/>
    <w:rsid w:val="54AF302F"/>
    <w:rsid w:val="5869062F"/>
    <w:rsid w:val="59367CDD"/>
    <w:rsid w:val="5B9C6FA2"/>
    <w:rsid w:val="5E922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uk-UA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Body Text"/>
    <w:basedOn w:val="1"/>
    <w:qFormat/>
    <w:uiPriority w:val="1"/>
  </w:style>
  <w:style w:type="paragraph" w:styleId="6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ind w:left="140"/>
      <w:jc w:val="both"/>
    </w:pPr>
  </w:style>
  <w:style w:type="paragraph" w:customStyle="1" w:styleId="9">
    <w:name w:val="Table Paragraph"/>
    <w:basedOn w:val="1"/>
    <w:qFormat/>
    <w:uiPriority w:val="1"/>
    <w:pPr>
      <w:ind w:left="11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284</Words>
  <Characters>1923</Characters>
  <Lines>7</Lines>
  <Paragraphs>4</Paragraphs>
  <TotalTime>0</TotalTime>
  <ScaleCrop>false</ScaleCrop>
  <LinksUpToDate>false</LinksUpToDate>
  <CharactersWithSpaces>2177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2025-06-18T07:26:00Z</dcterms:created>
  <dc:creator>Anna</dc:creator>
  <cp:lastModifiedBy>Наташа Синчук</cp:lastModifiedBy>
  <cp:lastPrinted>2025-07-01T06:01:00Z</cp:lastPrinted>
  <dcterms:modified xsi:type="dcterms:W3CDTF">2026-10-26T21:52:16Z</dcterms:modified>
  <dc:title>Microsoft Word - ˜  30 G5@2=O 2025@..docx</dc:title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2025-05-26T00:00:00Z</vt:filetime>
  </property>
  <property fmtid="{D5CDD505-2E9C-101B-9397-08002B2CF9AE}" pid="3" name="LastSaved">
    <vt:filetime>2025-06-18T00:00:00Z</vt:filetime>
  </property>
  <property fmtid="{D5CDD505-2E9C-101B-9397-08002B2CF9AE}" pid="4" name="Producer">
    <vt:lpwstr>Microsoft: Print To PDF</vt:lpwstr>
  </property>
  <property fmtid="{D5CDD505-2E9C-101B-9397-08002B2CF9AE}" pid="5" name="KSOProductBuildVer">
    <vt:lpwstr>1049-12.1.0.26880</vt:lpwstr>
  </property>
  <property fmtid="{D5CDD505-2E9C-101B-9397-08002B2CF9AE}" pid="6" name="ICV">
    <vt:lpwstr>531AF94AC77942219F47D3024DF8F915_12</vt:lpwstr>
  </property>
  <property fmtid="{D5CDD505-2E9C-101B-9397-08002B2CF9AE}" pid="7" name="KSOTemplateDocerSaveRecord">
    <vt:lpwstr>eyJoZGlkIjoiZGUxZjU4OTg2YmRkMWY3NmE0MzRhMGU1MTMxMmY3ZWQiLCJ1c2VySWQiOiIyOTAzODgxMDg0MDM1In0=</vt:lpwstr>
  </property>
</Properties>
</file>